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60" w:rsidRPr="006811C9" w:rsidRDefault="00A74160">
      <w:pPr>
        <w:rPr>
          <w:rFonts w:ascii="Times New Roman" w:hAnsi="Times New Roman" w:cs="Times New Roman"/>
          <w:color w:val="auto"/>
          <w:sz w:val="24"/>
          <w:szCs w:val="24"/>
        </w:rPr>
      </w:pPr>
    </w:p>
    <w:p w:rsidR="00A74160" w:rsidRPr="006811C9" w:rsidRDefault="00A74160">
      <w:pPr>
        <w:rPr>
          <w:rFonts w:ascii="Times New Roman" w:hAnsi="Times New Roman" w:cs="Times New Roman"/>
          <w:color w:val="auto"/>
          <w:sz w:val="24"/>
          <w:szCs w:val="24"/>
        </w:rPr>
      </w:pPr>
    </w:p>
    <w:p w:rsidR="00A74160" w:rsidRPr="006811C9" w:rsidRDefault="007F0E70">
      <w:pPr>
        <w:pStyle w:val="h1maintyt"/>
        <w:rPr>
          <w:b w:val="0"/>
          <w:bCs w:val="0"/>
          <w:color w:val="auto"/>
        </w:rPr>
      </w:pPr>
      <w:r w:rsidRPr="006811C9">
        <w:rPr>
          <w:color w:val="auto"/>
        </w:rPr>
        <w:t>Ustawa o efektywności energetycznej</w:t>
      </w:r>
    </w:p>
    <w:p w:rsidR="007F0E70" w:rsidRPr="006811C9" w:rsidRDefault="007F0E70">
      <w:pPr>
        <w:rPr>
          <w:rFonts w:ascii="Times New Roman" w:hAnsi="Times New Roman" w:cs="Times New Roman"/>
          <w:color w:val="auto"/>
          <w:sz w:val="24"/>
          <w:szCs w:val="24"/>
        </w:rPr>
      </w:pPr>
      <w:r w:rsidRPr="006811C9">
        <w:rPr>
          <w:rFonts w:ascii="Times New Roman" w:hAnsi="Times New Roman" w:cs="Times New Roman"/>
          <w:color w:val="auto"/>
          <w:sz w:val="24"/>
          <w:szCs w:val="24"/>
          <w:vertAlign w:val="superscript"/>
        </w:rPr>
        <w:t>1)</w:t>
      </w:r>
      <w:r w:rsidRPr="006811C9">
        <w:rPr>
          <w:rFonts w:ascii="Times New Roman" w:hAnsi="Times New Roman" w:cs="Times New Roman"/>
          <w:color w:val="auto"/>
          <w:sz w:val="24"/>
          <w:szCs w:val="24"/>
          <w:vertAlign w:val="superscript"/>
        </w:rPr>
        <w:footnoteReference w:customMarkFollows="1" w:id="1"/>
        <w:t xml:space="preserve"> </w:t>
      </w:r>
    </w:p>
    <w:p w:rsidR="007F0E70" w:rsidRPr="006811C9" w:rsidRDefault="007F0E70">
      <w:pPr>
        <w:pStyle w:val="pmainpub"/>
        <w:rPr>
          <w:b w:val="0"/>
          <w:bCs w:val="0"/>
          <w:color w:val="auto"/>
        </w:rPr>
      </w:pPr>
      <w:r w:rsidRPr="006811C9">
        <w:rPr>
          <w:color w:val="auto"/>
        </w:rPr>
        <w:t>z dnia 20 maja 2016 r. (</w:t>
      </w:r>
      <w:proofErr w:type="spellStart"/>
      <w:r w:rsidRPr="006811C9">
        <w:rPr>
          <w:color w:val="auto"/>
        </w:rPr>
        <w:t>Dz.U</w:t>
      </w:r>
      <w:proofErr w:type="spellEnd"/>
      <w:r w:rsidRPr="006811C9">
        <w:rPr>
          <w:color w:val="auto"/>
        </w:rPr>
        <w:t>. z 2016 r. poz. 831)</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r w:rsidRPr="006811C9">
        <w:rPr>
          <w:rFonts w:ascii="Times New Roman" w:hAnsi="Times New Roman" w:cs="Times New Roman"/>
          <w:color w:val="auto"/>
          <w:sz w:val="24"/>
          <w:szCs w:val="24"/>
          <w:vertAlign w:val="superscript"/>
        </w:rPr>
        <w:t>2)</w:t>
      </w:r>
      <w:r w:rsidRPr="006811C9">
        <w:rPr>
          <w:rFonts w:ascii="Times New Roman" w:hAnsi="Times New Roman" w:cs="Times New Roman"/>
          <w:color w:val="auto"/>
          <w:sz w:val="24"/>
          <w:szCs w:val="24"/>
          <w:vertAlign w:val="superscript"/>
        </w:rPr>
        <w:footnoteReference w:customMarkFollows="1" w:id="2"/>
        <w:t xml:space="preserve"> </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pStyle w:val="h1chapter"/>
        <w:rPr>
          <w:b w:val="0"/>
          <w:bCs w:val="0"/>
          <w:color w:val="auto"/>
        </w:rPr>
      </w:pPr>
      <w:r w:rsidRPr="006811C9">
        <w:rPr>
          <w:color w:val="auto"/>
        </w:rPr>
        <w:t xml:space="preserve">Rozdział 1. Przepisy ogólne. </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1 [Zakres przedmiotowy] </w:t>
      </w:r>
      <w:r w:rsidRPr="006811C9">
        <w:rPr>
          <w:color w:val="auto"/>
        </w:rPr>
        <w:t xml:space="preserve">Ustawa określa: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zasady opracowywania krajowego planu działań dotyczącego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zadania jednostek sektora publicznego w zakresie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zasady realizacji obowiązku uzyskania oszczędności energii;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4) </w:t>
      </w:r>
      <w:r w:rsidRPr="006811C9">
        <w:rPr>
          <w:color w:val="auto"/>
        </w:rPr>
        <w:t xml:space="preserve"> zasady przeprowadzania audytu energetycznego przedsiębiorstwa.</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2 [Objaśnienie pojęć] </w:t>
      </w:r>
      <w:r w:rsidRPr="006811C9">
        <w:rPr>
          <w:color w:val="auto"/>
        </w:rPr>
        <w:t>Użyte w ustawie określenia oznaczają:</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audyt efektywności energetycznej - opracowanie zawierające analizę zużycia energii oraz określające stan techniczny obiektu, urządzenia technicznego lub instalacji, zawierające wykaz przedsięwzięć służących poprawie efektywności energetycznej obiektu, urządzenia technicznego lub instalacji, a także ocenę ich opłacalności ekonomicznej i możliwej do uzyskania oszczędności energii;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ciepło - ciepło w rozumieniu art. 3 </w:t>
      </w:r>
      <w:proofErr w:type="spellStart"/>
      <w:r w:rsidRPr="006811C9">
        <w:rPr>
          <w:color w:val="auto"/>
        </w:rPr>
        <w:t>pkt</w:t>
      </w:r>
      <w:proofErr w:type="spellEnd"/>
      <w:r w:rsidRPr="006811C9">
        <w:rPr>
          <w:color w:val="auto"/>
        </w:rPr>
        <w:t xml:space="preserve"> 2 ustawy z dnia 10 kwietnia 1997 r. - Prawo energetyczne (</w:t>
      </w:r>
      <w:proofErr w:type="spellStart"/>
      <w:r w:rsidRPr="006811C9">
        <w:rPr>
          <w:color w:val="auto"/>
        </w:rPr>
        <w:t>Dz.U</w:t>
      </w:r>
      <w:proofErr w:type="spellEnd"/>
      <w:r w:rsidRPr="006811C9">
        <w:rPr>
          <w:color w:val="auto"/>
        </w:rPr>
        <w:t xml:space="preserve">. z 2012 r. poz. 1059, z </w:t>
      </w:r>
      <w:proofErr w:type="spellStart"/>
      <w:r w:rsidRPr="006811C9">
        <w:rPr>
          <w:color w:val="auto"/>
        </w:rPr>
        <w:t>późn</w:t>
      </w:r>
      <w:proofErr w:type="spellEnd"/>
      <w:r w:rsidRPr="006811C9">
        <w:rPr>
          <w:color w:val="auto"/>
        </w:rPr>
        <w:t>. zm.</w:t>
      </w:r>
      <w:r w:rsidRPr="006811C9">
        <w:rPr>
          <w:color w:val="auto"/>
          <w:vertAlign w:val="superscript"/>
        </w:rPr>
        <w:t>3)</w:t>
      </w:r>
      <w:r w:rsidRPr="006811C9">
        <w:rPr>
          <w:color w:val="auto"/>
          <w:vertAlign w:val="superscript"/>
        </w:rPr>
        <w:footnoteReference w:customMarkFollows="1" w:id="3"/>
        <w:t xml:space="preserve"> </w:t>
      </w:r>
      <w:r w:rsidRPr="006811C9">
        <w:rPr>
          <w:color w:val="auto"/>
        </w:rPr>
        <w:t>);</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efektywność energetyczna - stosunek uzyskanej wielkości efektu użytkowego danego obiektu, urządzenia technicznego lub instalacji, w typowych warunkach ich użytkowania lub eksploatacji, do ilości zużycia energii przez ten obiekt, urządzenie techniczne lub instalację, albo w wyniku wykonanej usługi niezbędnej do uzyskania tego efektu;</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4) </w:t>
      </w:r>
      <w:r w:rsidRPr="006811C9">
        <w:rPr>
          <w:color w:val="auto"/>
        </w:rPr>
        <w:t xml:space="preserve"> efekt użytkowy - efekt uzyskany w wyniku dostarczenia energii do danego obiektu, urządzenia technicznego lub instalacji, w szczególności wykonanie pracy mechanicznej, zapewnienie komfortu cieplnego lub oświetlenie;</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5) </w:t>
      </w:r>
      <w:r w:rsidRPr="006811C9">
        <w:rPr>
          <w:color w:val="auto"/>
        </w:rPr>
        <w:t xml:space="preserve"> energia - energię pierwotną lub energię finalną;</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6) </w:t>
      </w:r>
      <w:r w:rsidRPr="006811C9">
        <w:rPr>
          <w:color w:val="auto"/>
        </w:rPr>
        <w:t xml:space="preserve"> energia pierwotna - energię zawartą w pierwotnych nośnikach energii, pozyskiwaną bezpośrednio ze środowiska, a w szczególności: w węglu kamiennym energetycznym (łącznie z węglem odzyskanym z hałd), w węglu kamiennym koksowym, w węglu brunatnym, w ropie naftowej (łącznie z gazoliną), w gazie ziemnym </w:t>
      </w:r>
      <w:proofErr w:type="spellStart"/>
      <w:r w:rsidRPr="006811C9">
        <w:rPr>
          <w:color w:val="auto"/>
        </w:rPr>
        <w:t>wysokometanowym</w:t>
      </w:r>
      <w:proofErr w:type="spellEnd"/>
      <w:r w:rsidRPr="006811C9">
        <w:rPr>
          <w:color w:val="auto"/>
        </w:rPr>
        <w:t xml:space="preserve"> (łącznie z gazem z odmetanowania kopalń węgla kamiennego), w gazie ziemnym zaazotowanym, w torfie do celów opałowych, oraz energię: wody, wiatru, słoneczną, geotermalną wykorzystywaną </w:t>
      </w:r>
      <w:r w:rsidRPr="006811C9">
        <w:rPr>
          <w:color w:val="auto"/>
        </w:rPr>
        <w:lastRenderedPageBreak/>
        <w:t>do wytwarzania energii elektrycznej, ciepła lub chłodu, a także biomasę w rozumieniu ustawy z dnia 25 sierpnia 2006 r. o biokomponentach i biopaliwach ciekłych (</w:t>
      </w:r>
      <w:proofErr w:type="spellStart"/>
      <w:r w:rsidRPr="006811C9">
        <w:rPr>
          <w:color w:val="auto"/>
        </w:rPr>
        <w:t>Dz.U</w:t>
      </w:r>
      <w:proofErr w:type="spellEnd"/>
      <w:r w:rsidRPr="006811C9">
        <w:rPr>
          <w:color w:val="auto"/>
        </w:rPr>
        <w:t>. z 2015 r. poz. 775 oraz z 2016 r. poz. 266);</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7) </w:t>
      </w:r>
      <w:r w:rsidRPr="006811C9">
        <w:rPr>
          <w:color w:val="auto"/>
        </w:rPr>
        <w:t xml:space="preserve"> energia finalna - energię lub paliwa w rozumieniu art. 3 </w:t>
      </w:r>
      <w:proofErr w:type="spellStart"/>
      <w:r w:rsidRPr="006811C9">
        <w:rPr>
          <w:color w:val="auto"/>
        </w:rPr>
        <w:t>pkt</w:t>
      </w:r>
      <w:proofErr w:type="spellEnd"/>
      <w:r w:rsidRPr="006811C9">
        <w:rPr>
          <w:color w:val="auto"/>
        </w:rPr>
        <w:t xml:space="preserve"> 1 i 3 ustawy z dnia 10 kwietnia 1997 r. - Prawo energetyczne, zużywane przez odbiorcę końcowego;</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8) </w:t>
      </w:r>
      <w:r w:rsidRPr="006811C9">
        <w:rPr>
          <w:color w:val="auto"/>
        </w:rPr>
        <w:t xml:space="preserve"> jednostka sektora publicznego - podmiot, o którym mowa w art. 3 ust. 1 </w:t>
      </w:r>
      <w:proofErr w:type="spellStart"/>
      <w:r w:rsidRPr="006811C9">
        <w:rPr>
          <w:color w:val="auto"/>
        </w:rPr>
        <w:t>pkt</w:t>
      </w:r>
      <w:proofErr w:type="spellEnd"/>
      <w:r w:rsidRPr="006811C9">
        <w:rPr>
          <w:color w:val="auto"/>
        </w:rPr>
        <w:t xml:space="preserve"> 1-3a ustawy z dnia 29 stycznia 2004 r. - Prawo zamówień publicznych (</w:t>
      </w:r>
      <w:proofErr w:type="spellStart"/>
      <w:r w:rsidRPr="006811C9">
        <w:rPr>
          <w:color w:val="auto"/>
        </w:rPr>
        <w:t>Dz.U</w:t>
      </w:r>
      <w:proofErr w:type="spellEnd"/>
      <w:r w:rsidRPr="006811C9">
        <w:rPr>
          <w:color w:val="auto"/>
        </w:rPr>
        <w:t>. z 2015 r. poz. 2164);</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9) </w:t>
      </w:r>
      <w:r w:rsidRPr="006811C9">
        <w:rPr>
          <w:color w:val="auto"/>
        </w:rPr>
        <w:t xml:space="preserve"> odbiorca końcowy - odbiorcę końcowego w rozumieniu art. 3 </w:t>
      </w:r>
      <w:proofErr w:type="spellStart"/>
      <w:r w:rsidRPr="006811C9">
        <w:rPr>
          <w:color w:val="auto"/>
        </w:rPr>
        <w:t>pkt</w:t>
      </w:r>
      <w:proofErr w:type="spellEnd"/>
      <w:r w:rsidRPr="006811C9">
        <w:rPr>
          <w:color w:val="auto"/>
        </w:rPr>
        <w:t xml:space="preserve"> 13a ustawy z dnia 10 kwietnia 1997 r. - Prawo energetyczne;</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10) </w:t>
      </w:r>
      <w:r w:rsidRPr="006811C9">
        <w:rPr>
          <w:color w:val="auto"/>
        </w:rPr>
        <w:t xml:space="preserve"> oszczędność energii - ilość energii stanowiącą różnicę między energią potencjalnie zużytą przez obiekt, urządzenie techniczne lub instalację w danym okresie, przed zrealizowaniem jednego lub kilku przedsięwzięć służących poprawie efektywności energetycznej, a energią zużytą przez ten obiekt, urządzenie techniczne lub instalację w takim samym okresie, po zrealizowaniu tych przedsięwzięć i po uwzględnieniu znormalizowanych warunków zewnętrznych wpływających na zużycie energii;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11) </w:t>
      </w:r>
      <w:r w:rsidRPr="006811C9">
        <w:rPr>
          <w:color w:val="auto"/>
        </w:rPr>
        <w:t xml:space="preserve"> przedsiębiorstwo energetyczne - przedsiębiorstwo energetyczne w rozumieniu art. 3 </w:t>
      </w:r>
      <w:proofErr w:type="spellStart"/>
      <w:r w:rsidRPr="006811C9">
        <w:rPr>
          <w:color w:val="auto"/>
        </w:rPr>
        <w:t>pkt</w:t>
      </w:r>
      <w:proofErr w:type="spellEnd"/>
      <w:r w:rsidRPr="006811C9">
        <w:rPr>
          <w:color w:val="auto"/>
        </w:rPr>
        <w:t xml:space="preserve"> 12 ustawy z dnia 10 kwietnia 1997 r. - Prawo energetyczne;</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12) </w:t>
      </w:r>
      <w:r w:rsidRPr="006811C9">
        <w:rPr>
          <w:color w:val="auto"/>
        </w:rPr>
        <w:t xml:space="preserve"> przedsięwzięcie służące poprawie efektywności energetycznej - działanie polegające na wprowadzeniu zmian lub usprawnień w obiekcie, w urządzeniu technicznym lub w instalacji, w wyniku których uzyskuje się oszczędność energii;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13) </w:t>
      </w:r>
      <w:r w:rsidRPr="006811C9">
        <w:rPr>
          <w:color w:val="auto"/>
        </w:rPr>
        <w:t xml:space="preserve"> tona oleju ekwiwalentnego - równoważnik jednej tony ropy naftowej o wartości opałowej równej 41 868 </w:t>
      </w:r>
      <w:proofErr w:type="spellStart"/>
      <w:r w:rsidRPr="006811C9">
        <w:rPr>
          <w:color w:val="auto"/>
        </w:rPr>
        <w:t>kJ</w:t>
      </w:r>
      <w:proofErr w:type="spellEnd"/>
      <w:r w:rsidRPr="006811C9">
        <w:rPr>
          <w:color w:val="auto"/>
        </w:rPr>
        <w:t>/</w:t>
      </w:r>
      <w:proofErr w:type="spellStart"/>
      <w:r w:rsidRPr="006811C9">
        <w:rPr>
          <w:color w:val="auto"/>
        </w:rPr>
        <w:t>kg</w:t>
      </w:r>
      <w:proofErr w:type="spellEnd"/>
      <w:r w:rsidRPr="006811C9">
        <w:rPr>
          <w:color w:val="auto"/>
        </w:rPr>
        <w:t>.</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3 [Podstawa zażalenia]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Od decyzji Prezesa Urzędu Regulacji Energetyki, zwanego dalej „Prezesem URE”, służy odwołanie do Sądu Okręgowego w Warszawie - sądu ochrony konkurencji i konsumentów, w terminie 14 dni od dnia doręczenia decyzji.</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Postępowanie w sprawie odwołania od decyzji Prezesa URE toczy się według przepisów ustawy z dnia 17 listopada 1964 r. - Kodeks postępowania cywilnego (</w:t>
      </w:r>
      <w:proofErr w:type="spellStart"/>
      <w:r w:rsidRPr="006811C9">
        <w:rPr>
          <w:color w:val="auto"/>
        </w:rPr>
        <w:t>Dz.U</w:t>
      </w:r>
      <w:proofErr w:type="spellEnd"/>
      <w:r w:rsidRPr="006811C9">
        <w:rPr>
          <w:color w:val="auto"/>
        </w:rPr>
        <w:t xml:space="preserve">. z 2014 r. poz. 101, z </w:t>
      </w:r>
      <w:proofErr w:type="spellStart"/>
      <w:r w:rsidRPr="006811C9">
        <w:rPr>
          <w:color w:val="auto"/>
        </w:rPr>
        <w:t>późn</w:t>
      </w:r>
      <w:proofErr w:type="spellEnd"/>
      <w:r w:rsidRPr="006811C9">
        <w:rPr>
          <w:color w:val="auto"/>
        </w:rPr>
        <w:t>. zm.</w:t>
      </w:r>
      <w:r w:rsidRPr="006811C9">
        <w:rPr>
          <w:color w:val="auto"/>
          <w:vertAlign w:val="superscript"/>
        </w:rPr>
        <w:t>4)</w:t>
      </w:r>
      <w:r w:rsidRPr="006811C9">
        <w:rPr>
          <w:color w:val="auto"/>
          <w:vertAlign w:val="superscript"/>
        </w:rPr>
        <w:footnoteReference w:customMarkFollows="1" w:id="4"/>
        <w:t xml:space="preserve"> </w:t>
      </w:r>
      <w:r w:rsidRPr="006811C9">
        <w:rPr>
          <w:color w:val="auto"/>
        </w:rPr>
        <w:t>) o postępowaniu w sprawach z zakresu regulacji energetyki.</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3. Do postanowień wydanych przez Prezesa URE, na które przysługuje zażalenie, przepisy ust. 1 i 2 stosuje się odpowiednio. Zażalenie wnosi się w terminie 7 dni od dnia doręczenia postanowienia.</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pStyle w:val="h1chapter"/>
        <w:rPr>
          <w:b w:val="0"/>
          <w:bCs w:val="0"/>
          <w:color w:val="auto"/>
        </w:rPr>
      </w:pPr>
      <w:r w:rsidRPr="006811C9">
        <w:rPr>
          <w:color w:val="auto"/>
        </w:rPr>
        <w:t xml:space="preserve">Rozdział 2. Krajowy plan działań dotyczący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4 [Zakres planu działań]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Minister właściwy do spraw energii co 3 lata opracowuje krajowy plan działań dotyczący efektywności energetycznej, zwany dalej „krajowym planem działań”, do dnia 31 stycznia roku, w którym jest obowiązek opracowania tego planu.</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Krajowy plan działań zawiera w szczególności: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opis planowanych programów zawierających działania w zakresie poprawy efektywności energetycznej w poszczególnych sektorach gospodarki;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określenie krajowego celu w zakresie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informacje o osiągniętej oszczędności energii, w tym w przesyłaniu lub w dystrybucji, w dostarczaniu oraz w końcowym zużyciu energii;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4) </w:t>
      </w:r>
      <w:r w:rsidRPr="006811C9">
        <w:rPr>
          <w:color w:val="auto"/>
        </w:rPr>
        <w:t xml:space="preserve"> strategię wspierania inwestycji w renowację budynków zawierającą: </w:t>
      </w:r>
    </w:p>
    <w:p w:rsidR="007F0E70" w:rsidRPr="006811C9" w:rsidRDefault="007F0E70">
      <w:pPr>
        <w:pStyle w:val="divpkt"/>
        <w:rPr>
          <w:color w:val="auto"/>
        </w:rPr>
      </w:pPr>
      <w:r w:rsidRPr="006811C9">
        <w:rPr>
          <w:b/>
          <w:bCs/>
          <w:color w:val="auto"/>
        </w:rPr>
        <w:t xml:space="preserve"> a) </w:t>
      </w:r>
      <w:r w:rsidRPr="006811C9">
        <w:rPr>
          <w:color w:val="auto"/>
        </w:rPr>
        <w:t xml:space="preserve"> wyniki dokonanego przeglądu budynków znajdujących się na terytorium Rzeczypospolitej Polskiej, </w:t>
      </w:r>
    </w:p>
    <w:p w:rsidR="007F0E70" w:rsidRPr="006811C9" w:rsidRDefault="007F0E70">
      <w:pPr>
        <w:pStyle w:val="divpkt"/>
        <w:rPr>
          <w:color w:val="auto"/>
        </w:rPr>
      </w:pPr>
      <w:r w:rsidRPr="006811C9">
        <w:rPr>
          <w:b/>
          <w:bCs/>
          <w:color w:val="auto"/>
        </w:rPr>
        <w:t xml:space="preserve"> b) </w:t>
      </w:r>
      <w:r w:rsidRPr="006811C9">
        <w:rPr>
          <w:color w:val="auto"/>
        </w:rPr>
        <w:t xml:space="preserve"> określenie sposobów przebudowy lub remontu budynków, o których mowa w lit. a, </w:t>
      </w:r>
    </w:p>
    <w:p w:rsidR="007F0E70" w:rsidRPr="006811C9" w:rsidRDefault="007F0E70">
      <w:pPr>
        <w:pStyle w:val="divpkt"/>
        <w:rPr>
          <w:color w:val="auto"/>
        </w:rPr>
      </w:pPr>
      <w:r w:rsidRPr="006811C9">
        <w:rPr>
          <w:b/>
          <w:bCs/>
          <w:color w:val="auto"/>
        </w:rPr>
        <w:t xml:space="preserve"> c) </w:t>
      </w:r>
      <w:r w:rsidRPr="006811C9">
        <w:rPr>
          <w:color w:val="auto"/>
        </w:rPr>
        <w:t xml:space="preserve"> dane szacunkowe o możliwej do uzyskania oszczędności energii w wyniku przebudowy lub remontu budynków, o których mowa w lit. a.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3. Strategię, o której mowa w ust. 2 </w:t>
      </w:r>
      <w:proofErr w:type="spellStart"/>
      <w:r w:rsidRPr="006811C9">
        <w:rPr>
          <w:color w:val="auto"/>
        </w:rPr>
        <w:t>pkt</w:t>
      </w:r>
      <w:proofErr w:type="spellEnd"/>
      <w:r w:rsidRPr="006811C9">
        <w:rPr>
          <w:color w:val="auto"/>
        </w:rPr>
        <w:t xml:space="preserve"> 4, minister właściwy do spraw budownictwa, planowania i zagospodarowania przestrzennego oraz mieszkalnictwa przekazuje ministrowi właściwemu do spraw energii, do dnia 31 grudnia roku poprzedzającego rok, w którym jest obowiązek opracowania krajowego planu działań.</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5 [Przyjęcie przez Radę Ministrów, dalsza procedura]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Rada Ministrów, na wniosek ministra właściwego do spraw energii, przyjmuje, w drodze uchwały, krajowy plan działań.</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Krajowy plan działań po jego przyjęciu przez Radę Ministrów jest przekazywany Komisji Europejskiej, do dnia 30 kwietnia danego roku, w którym jest obowiązek opracowania tego planu, przez ministra właściwego do spraw energii.</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pStyle w:val="h1chapter"/>
        <w:rPr>
          <w:b w:val="0"/>
          <w:bCs w:val="0"/>
          <w:color w:val="auto"/>
        </w:rPr>
      </w:pPr>
      <w:r w:rsidRPr="006811C9">
        <w:rPr>
          <w:color w:val="auto"/>
        </w:rPr>
        <w:t xml:space="preserve">Rozdział 3. Zadania jednostek sektora publicznego w zakresie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6 [Środki poprawy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Jednostka sektora publicznego realizuje swoje zadania, stosując co najmniej jeden ze środków poprawy efektywności energetycznej, o których mowa w ust. 2, zwanych dalej „środkami poprawy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Środkami poprawy efektywności energetycznej są:</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realizacja i finansowanie przedsięwzięcia służącego poprawie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nabycie urządzenia, instalacji lub pojazdu, charakteryzujących się niskim zużyciem energii oraz niskimi kosztami eksploatacji;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wymiana eksploatowanego urządzenia, instalacji lub pojazdu na urządzenie, instalację lub pojazd, o których mowa w </w:t>
      </w:r>
      <w:proofErr w:type="spellStart"/>
      <w:r w:rsidRPr="006811C9">
        <w:rPr>
          <w:color w:val="auto"/>
        </w:rPr>
        <w:t>pkt</w:t>
      </w:r>
      <w:proofErr w:type="spellEnd"/>
      <w:r w:rsidRPr="006811C9">
        <w:rPr>
          <w:color w:val="auto"/>
        </w:rPr>
        <w:t xml:space="preserve"> 2, lub ich modernizacja;</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4) </w:t>
      </w:r>
      <w:r w:rsidRPr="006811C9">
        <w:rPr>
          <w:color w:val="auto"/>
        </w:rPr>
        <w:t xml:space="preserve"> realizacja przedsięwzięcia </w:t>
      </w:r>
      <w:proofErr w:type="spellStart"/>
      <w:r w:rsidRPr="006811C9">
        <w:rPr>
          <w:color w:val="auto"/>
        </w:rPr>
        <w:t>termomodernizacyjnego</w:t>
      </w:r>
      <w:proofErr w:type="spellEnd"/>
      <w:r w:rsidRPr="006811C9">
        <w:rPr>
          <w:color w:val="auto"/>
        </w:rPr>
        <w:t xml:space="preserve"> w rozumieniu ustawy z dnia 21 listopada 2008 r. o wspieraniu termomodernizacji i remontów (</w:t>
      </w:r>
      <w:proofErr w:type="spellStart"/>
      <w:r w:rsidRPr="006811C9">
        <w:rPr>
          <w:color w:val="auto"/>
        </w:rPr>
        <w:t>Dz.U</w:t>
      </w:r>
      <w:proofErr w:type="spellEnd"/>
      <w:r w:rsidRPr="006811C9">
        <w:rPr>
          <w:color w:val="auto"/>
        </w:rPr>
        <w:t>. z 2014 r. poz. 712 oraz z 2016 r. poz. 615);</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5) </w:t>
      </w:r>
      <w:r w:rsidRPr="006811C9">
        <w:rPr>
          <w:color w:val="auto"/>
        </w:rPr>
        <w:t xml:space="preserve"> wdrażanie systemu zarządzania środowiskowego, o którym mowa w art. 2 </w:t>
      </w:r>
      <w:proofErr w:type="spellStart"/>
      <w:r w:rsidRPr="006811C9">
        <w:rPr>
          <w:color w:val="auto"/>
        </w:rPr>
        <w:t>pkt</w:t>
      </w:r>
      <w:proofErr w:type="spellEnd"/>
      <w:r w:rsidRPr="006811C9">
        <w:rPr>
          <w:color w:val="auto"/>
        </w:rPr>
        <w:t xml:space="preserve"> 13 rozporządzenia Parlamentu Europejskiego i Rady (WE) nr 1221/2009 z dnia 25 listopada 2009 r. w sprawie dobrowolnego udziału organizacji w systemie </w:t>
      </w:r>
      <w:proofErr w:type="spellStart"/>
      <w:r w:rsidRPr="006811C9">
        <w:rPr>
          <w:color w:val="auto"/>
        </w:rPr>
        <w:t>ekozarządzania</w:t>
      </w:r>
      <w:proofErr w:type="spellEnd"/>
      <w:r w:rsidRPr="006811C9">
        <w:rPr>
          <w:color w:val="auto"/>
        </w:rPr>
        <w:t xml:space="preserve"> i audytu we Wspólnocie (EMAS), uchylającego rozporządzenie (WE) nr 761/2001 oraz decyzje Komisji 2001/681/WE i 2006/193/WE (</w:t>
      </w:r>
      <w:proofErr w:type="spellStart"/>
      <w:r w:rsidRPr="006811C9">
        <w:rPr>
          <w:color w:val="auto"/>
        </w:rPr>
        <w:t>Dz.Urz</w:t>
      </w:r>
      <w:proofErr w:type="spellEnd"/>
      <w:r w:rsidRPr="006811C9">
        <w:rPr>
          <w:color w:val="auto"/>
        </w:rPr>
        <w:t xml:space="preserve">. UE L 342 z 22.12.2009, str. 1, z </w:t>
      </w:r>
      <w:proofErr w:type="spellStart"/>
      <w:r w:rsidRPr="006811C9">
        <w:rPr>
          <w:color w:val="auto"/>
        </w:rPr>
        <w:t>późn</w:t>
      </w:r>
      <w:proofErr w:type="spellEnd"/>
      <w:r w:rsidRPr="006811C9">
        <w:rPr>
          <w:color w:val="auto"/>
        </w:rPr>
        <w:t xml:space="preserve">. zm.), potwierdzone uzyskaniem wpisu do rejestru EMAS, o którym mowa w art. 5 ust. 1 ustawy z dnia 15 lipca 2011 r. o krajowym systemie </w:t>
      </w:r>
      <w:proofErr w:type="spellStart"/>
      <w:r w:rsidRPr="006811C9">
        <w:rPr>
          <w:color w:val="auto"/>
        </w:rPr>
        <w:t>ekozarządzania</w:t>
      </w:r>
      <w:proofErr w:type="spellEnd"/>
      <w:r w:rsidRPr="006811C9">
        <w:rPr>
          <w:color w:val="auto"/>
        </w:rPr>
        <w:t xml:space="preserve"> i audytu (EMAS) (</w:t>
      </w:r>
      <w:proofErr w:type="spellStart"/>
      <w:r w:rsidRPr="006811C9">
        <w:rPr>
          <w:color w:val="auto"/>
        </w:rPr>
        <w:t>Dz.U</w:t>
      </w:r>
      <w:proofErr w:type="spellEnd"/>
      <w:r w:rsidRPr="006811C9">
        <w:rPr>
          <w:color w:val="auto"/>
        </w:rPr>
        <w:t xml:space="preserve">. poz. 1060).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3. Jednostka sektora publicznego informuje o stosowanych środkach poprawy efektywności energetycznej na swojej stronie internetowej lub w inny sposób zwyczajowo przyjęty w danej miejscowości.</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7 [Umowa o poprawę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Jednostka sektora publicznego może realizować i finansować przedsięwzięcie lub przedsięwzięcia tego samego rodzaju służące poprawie efektywności energetycznej na podstawie umowy o poprawę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Umowa o poprawę efektywności energetycznej określa w szczególności: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możliwe do uzyskania oszczędności energii w wyniku realizacji przedsięwzięcia lub przedsięwzięć tego samego rodzaju służących poprawie efektywności energetycznej z zastosowaniem środka poprawy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sposób ustalania wynagrodzenia, którego wysokość jest uzależniona od oszczędności energii uzyskanej w wyniku realizacji przedsięwzięć, o których mowa w </w:t>
      </w:r>
      <w:proofErr w:type="spellStart"/>
      <w:r w:rsidRPr="006811C9">
        <w:rPr>
          <w:color w:val="auto"/>
        </w:rPr>
        <w:t>pkt</w:t>
      </w:r>
      <w:proofErr w:type="spellEnd"/>
      <w:r w:rsidRPr="006811C9">
        <w:rPr>
          <w:color w:val="auto"/>
        </w:rPr>
        <w:t xml:space="preserve"> 1.</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8 [Produkty, usługi nabywane przez organy władzy publicznej]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Organy władzy publicznej w rozumieniu ustawy z dnia 27 sierpnia 2009 r. o finansach publicznych (</w:t>
      </w:r>
      <w:proofErr w:type="spellStart"/>
      <w:r w:rsidRPr="006811C9">
        <w:rPr>
          <w:color w:val="auto"/>
        </w:rPr>
        <w:t>Dz.U</w:t>
      </w:r>
      <w:proofErr w:type="spellEnd"/>
      <w:r w:rsidRPr="006811C9">
        <w:rPr>
          <w:color w:val="auto"/>
        </w:rPr>
        <w:t xml:space="preserve">. z 2013 r. poz. 885, z </w:t>
      </w:r>
      <w:proofErr w:type="spellStart"/>
      <w:r w:rsidRPr="006811C9">
        <w:rPr>
          <w:color w:val="auto"/>
        </w:rPr>
        <w:t>późn</w:t>
      </w:r>
      <w:proofErr w:type="spellEnd"/>
      <w:r w:rsidRPr="006811C9">
        <w:rPr>
          <w:color w:val="auto"/>
        </w:rPr>
        <w:t>. zm.</w:t>
      </w:r>
      <w:r w:rsidRPr="006811C9">
        <w:rPr>
          <w:color w:val="auto"/>
          <w:vertAlign w:val="superscript"/>
        </w:rPr>
        <w:t>5)</w:t>
      </w:r>
      <w:r w:rsidRPr="006811C9">
        <w:rPr>
          <w:color w:val="auto"/>
          <w:vertAlign w:val="superscript"/>
        </w:rPr>
        <w:footnoteReference w:customMarkFollows="1" w:id="5"/>
        <w:t xml:space="preserve"> </w:t>
      </w:r>
      <w:r w:rsidRPr="006811C9">
        <w:rPr>
          <w:color w:val="auto"/>
        </w:rPr>
        <w:t>), których obszar działania obejmuje terytorium Rzeczypospolitej Polskiej, zwane dalej „organami władzy publicznej”: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nabywają efektywne energetycznie produkty lub</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zlecają usługi, których wykonanie związane jest ze zużyciem energii,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nabywają lub wynajmują efektywne energetycznie budynki lub ich części, które spełniają co najmniej wymagania minimalne w zakresie oszczędności energii i izolacyjności cieplnej określone w przepisach wydanych na podstawie art. 7 ust. 2 </w:t>
      </w:r>
      <w:proofErr w:type="spellStart"/>
      <w:r w:rsidRPr="006811C9">
        <w:rPr>
          <w:color w:val="auto"/>
        </w:rPr>
        <w:t>pkt</w:t>
      </w:r>
      <w:proofErr w:type="spellEnd"/>
      <w:r w:rsidRPr="006811C9">
        <w:rPr>
          <w:color w:val="auto"/>
        </w:rPr>
        <w:t xml:space="preserve"> 1 ustawy z dnia 7 lipca 1994 r. - Prawo budowlane (</w:t>
      </w:r>
      <w:proofErr w:type="spellStart"/>
      <w:r w:rsidRPr="006811C9">
        <w:rPr>
          <w:color w:val="auto"/>
        </w:rPr>
        <w:t>Dz.U</w:t>
      </w:r>
      <w:proofErr w:type="spellEnd"/>
      <w:r w:rsidRPr="006811C9">
        <w:rPr>
          <w:color w:val="auto"/>
        </w:rPr>
        <w:t>. z 2016 r. poz. 290), lub</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4) </w:t>
      </w:r>
      <w:r w:rsidRPr="006811C9">
        <w:rPr>
          <w:color w:val="auto"/>
        </w:rPr>
        <w:t xml:space="preserve"> w użytkowanych budynkach należących do Skarbu Państwa poddawanych przebudowie zapewniają wypełnienie zaleceń, o których mowa w art. 10 </w:t>
      </w:r>
      <w:proofErr w:type="spellStart"/>
      <w:r w:rsidRPr="006811C9">
        <w:rPr>
          <w:color w:val="auto"/>
        </w:rPr>
        <w:t>pkt</w:t>
      </w:r>
      <w:proofErr w:type="spellEnd"/>
      <w:r w:rsidRPr="006811C9">
        <w:rPr>
          <w:color w:val="auto"/>
        </w:rPr>
        <w:t xml:space="preserve"> 3 ustawy z dnia 29 sierpnia 2014 r. o charakterystyce energetycznej budynków (</w:t>
      </w:r>
      <w:proofErr w:type="spellStart"/>
      <w:r w:rsidRPr="006811C9">
        <w:rPr>
          <w:color w:val="auto"/>
        </w:rPr>
        <w:t>Dz.U</w:t>
      </w:r>
      <w:proofErr w:type="spellEnd"/>
      <w:r w:rsidRPr="006811C9">
        <w:rPr>
          <w:color w:val="auto"/>
        </w:rPr>
        <w:t>. poz. 1200 oraz z 2015 r. poz. 151), lub</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5) </w:t>
      </w:r>
      <w:r w:rsidRPr="006811C9">
        <w:rPr>
          <w:color w:val="auto"/>
        </w:rPr>
        <w:t xml:space="preserve"> realizują inne środki poprawy efektywności energetycznej w zakresie charakterystyki energetycznej budynków.</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2. Przepisów ust. 1 </w:t>
      </w:r>
      <w:proofErr w:type="spellStart"/>
      <w:r w:rsidRPr="006811C9">
        <w:rPr>
          <w:color w:val="auto"/>
        </w:rPr>
        <w:t>pkt</w:t>
      </w:r>
      <w:proofErr w:type="spellEnd"/>
      <w:r w:rsidRPr="006811C9">
        <w:rPr>
          <w:color w:val="auto"/>
        </w:rPr>
        <w:t xml:space="preserve"> 3-5 nie stosuje się do budynków:</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podlegających ochronie na podstawie przepisów ustawy z dnia 23 lipca 2003 r. o ochronie zabytków i opiece nad zabytkami (</w:t>
      </w:r>
      <w:proofErr w:type="spellStart"/>
      <w:r w:rsidRPr="006811C9">
        <w:rPr>
          <w:color w:val="auto"/>
        </w:rPr>
        <w:t>Dz.U</w:t>
      </w:r>
      <w:proofErr w:type="spellEnd"/>
      <w:r w:rsidRPr="006811C9">
        <w:rPr>
          <w:color w:val="auto"/>
        </w:rPr>
        <w:t>. z 2014 r. poz. 1446 oraz z 2015 r. poz. 397, 774 i 1505);</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wykorzystywanych na potrzeby obronności państwa, z wyjątkiem: </w:t>
      </w:r>
    </w:p>
    <w:p w:rsidR="007F0E70" w:rsidRPr="006811C9" w:rsidRDefault="007F0E70">
      <w:pPr>
        <w:pStyle w:val="divpkt"/>
        <w:rPr>
          <w:color w:val="auto"/>
        </w:rPr>
      </w:pPr>
      <w:r w:rsidRPr="006811C9">
        <w:rPr>
          <w:b/>
          <w:bCs/>
          <w:color w:val="auto"/>
        </w:rPr>
        <w:t xml:space="preserve"> a) </w:t>
      </w:r>
      <w:r w:rsidRPr="006811C9">
        <w:rPr>
          <w:color w:val="auto"/>
        </w:rPr>
        <w:t xml:space="preserve"> kwater w rozumieniu ustawy z dnia 22 czerwca 1995 r. o zakwaterowaniu Sił Zbrojnych Rzeczypospolitej Polskiej (</w:t>
      </w:r>
      <w:proofErr w:type="spellStart"/>
      <w:r w:rsidRPr="006811C9">
        <w:rPr>
          <w:color w:val="auto"/>
        </w:rPr>
        <w:t>Dz.U</w:t>
      </w:r>
      <w:proofErr w:type="spellEnd"/>
      <w:r w:rsidRPr="006811C9">
        <w:rPr>
          <w:color w:val="auto"/>
        </w:rPr>
        <w:t xml:space="preserve">. z 2016 r. poz. 207), </w:t>
      </w:r>
    </w:p>
    <w:p w:rsidR="007F0E70" w:rsidRPr="006811C9" w:rsidRDefault="007F0E70">
      <w:pPr>
        <w:pStyle w:val="divpkt"/>
        <w:rPr>
          <w:color w:val="auto"/>
        </w:rPr>
      </w:pPr>
      <w:r w:rsidRPr="006811C9">
        <w:rPr>
          <w:b/>
          <w:bCs/>
          <w:color w:val="auto"/>
        </w:rPr>
        <w:t xml:space="preserve"> b) </w:t>
      </w:r>
      <w:r w:rsidRPr="006811C9">
        <w:rPr>
          <w:color w:val="auto"/>
        </w:rPr>
        <w:t xml:space="preserve"> budynków przeznaczonych na cele biurowe i użytkowanych przez jednostki organizacyjne podległe Ministrowi Obrony Narodowej lub przez niego nadzorowane.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3. Przepisów ust. 1 nie stosuje się do zamówień na dostawy, usługi lub roboty budowlane w rozumieniu ustawy z dnia 29 stycznia 2004 r. - Prawo zamówień publicznych, jeżeli kwota wartości zamówienia jest niższa niż kwota określona w przepisach wydanych na podstawie art. 11 ust. 8 tej ustawy.</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4. Nabywane przez organy władzy publicznej produkty lub usługi, o których mowa w ust. 1, muszą spełniać:</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kryterium zaliczania do najwyższej klasy efektywności energetycznej, jaka jest możliwa do osiągnięcia - w przypadku produktów wykorzystujących energię, określonych w aktach delegowanych w rozumieniu art. 2 ust. 1 ustawy z dnia 14 września 2012 r. o informowaniu o zużyciu energii przez produkty wykorzystujące energię oraz o kontroli realizacji programu znakowania urządzeń biurowych (</w:t>
      </w:r>
      <w:proofErr w:type="spellStart"/>
      <w:r w:rsidRPr="006811C9">
        <w:rPr>
          <w:color w:val="auto"/>
        </w:rPr>
        <w:t>Dz.U</w:t>
      </w:r>
      <w:proofErr w:type="spellEnd"/>
      <w:r w:rsidRPr="006811C9">
        <w:rPr>
          <w:color w:val="auto"/>
        </w:rPr>
        <w:t>. poz. 1203, z 2015 r. poz. 1069 oraz z 2016 r. poz. 266 i 542),</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wymagania w zakresie poziomów referencyjnych efektywności energetycznej określonych w aktach delegowanych, o których mowa w </w:t>
      </w:r>
      <w:proofErr w:type="spellStart"/>
      <w:r w:rsidRPr="006811C9">
        <w:rPr>
          <w:color w:val="auto"/>
        </w:rPr>
        <w:t>pkt</w:t>
      </w:r>
      <w:proofErr w:type="spellEnd"/>
      <w:r w:rsidRPr="006811C9">
        <w:rPr>
          <w:color w:val="auto"/>
        </w:rPr>
        <w:t xml:space="preserve"> 1 - w przypadku gdy produkt nie jest objęty wymaganiami określonymi w </w:t>
      </w:r>
      <w:proofErr w:type="spellStart"/>
      <w:r w:rsidRPr="006811C9">
        <w:rPr>
          <w:color w:val="auto"/>
        </w:rPr>
        <w:t>pkt</w:t>
      </w:r>
      <w:proofErr w:type="spellEnd"/>
      <w:r w:rsidRPr="006811C9">
        <w:rPr>
          <w:color w:val="auto"/>
        </w:rPr>
        <w:t xml:space="preserve"> 1 i wchodzi w zakres rozporządzeń Komisji UE w sprawie wykonania dyrektywy Parlamentu Europejskiego i Rady 2009/125/WE z dnia 21 października 2009 r. ustanawiającej ogólne zasady ustalania wymogów dotyczących </w:t>
      </w:r>
      <w:proofErr w:type="spellStart"/>
      <w:r w:rsidRPr="006811C9">
        <w:rPr>
          <w:color w:val="auto"/>
        </w:rPr>
        <w:t>ekoprojektu</w:t>
      </w:r>
      <w:proofErr w:type="spellEnd"/>
      <w:r w:rsidRPr="006811C9">
        <w:rPr>
          <w:color w:val="auto"/>
        </w:rPr>
        <w:t xml:space="preserve"> dla produktów związanych z energią (</w:t>
      </w:r>
      <w:proofErr w:type="spellStart"/>
      <w:r w:rsidRPr="006811C9">
        <w:rPr>
          <w:color w:val="auto"/>
        </w:rPr>
        <w:t>Dz.Urz</w:t>
      </w:r>
      <w:proofErr w:type="spellEnd"/>
      <w:r w:rsidRPr="006811C9">
        <w:rPr>
          <w:color w:val="auto"/>
        </w:rPr>
        <w:t xml:space="preserve">. UE L 285 z 31.10.2009, str. 10, z </w:t>
      </w:r>
      <w:proofErr w:type="spellStart"/>
      <w:r w:rsidRPr="006811C9">
        <w:rPr>
          <w:color w:val="auto"/>
        </w:rPr>
        <w:t>późn</w:t>
      </w:r>
      <w:proofErr w:type="spellEnd"/>
      <w:r w:rsidRPr="006811C9">
        <w:rPr>
          <w:color w:val="auto"/>
        </w:rPr>
        <w:t>. zm.),</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wymogi efektywności energetycznej co najmniej odpowiadające wymaganiom wymienionym w umowie między rządem Stanów Zjednoczonych Ameryki a Unią Europejską w sprawie koordynacji programów znakowania efektywności energetycznej urządzeń biurowych (</w:t>
      </w:r>
      <w:proofErr w:type="spellStart"/>
      <w:r w:rsidRPr="006811C9">
        <w:rPr>
          <w:color w:val="auto"/>
        </w:rPr>
        <w:t>Dz.Urz</w:t>
      </w:r>
      <w:proofErr w:type="spellEnd"/>
      <w:r w:rsidRPr="006811C9">
        <w:rPr>
          <w:color w:val="auto"/>
        </w:rPr>
        <w:t>. UE L 63 z 06.03.2013, str. 7) - w przypadku urządzeń biurowych wymienionych w tej umowie,</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4) </w:t>
      </w:r>
      <w:r w:rsidRPr="006811C9">
        <w:rPr>
          <w:color w:val="auto"/>
        </w:rPr>
        <w:t xml:space="preserve"> kryterium posiadania najwyższej klasy efektywności paliwowej określonej w załączniku nr 1 do rozporządzenia Parlamentu Europejskiego i Rady (WE) nr 1222/2009 z dnia 25 listopada 2009 r. w sprawie etykietowania opon pod kątem efektywności paliwowej i innych zasadniczych parametrów (</w:t>
      </w:r>
      <w:proofErr w:type="spellStart"/>
      <w:r w:rsidRPr="006811C9">
        <w:rPr>
          <w:color w:val="auto"/>
        </w:rPr>
        <w:t>Dz.Urz</w:t>
      </w:r>
      <w:proofErr w:type="spellEnd"/>
      <w:r w:rsidRPr="006811C9">
        <w:rPr>
          <w:color w:val="auto"/>
        </w:rPr>
        <w:t xml:space="preserve">. UE L 342 z 22.12.2009, str. 46, z </w:t>
      </w:r>
      <w:proofErr w:type="spellStart"/>
      <w:r w:rsidRPr="006811C9">
        <w:rPr>
          <w:color w:val="auto"/>
        </w:rPr>
        <w:t>późn</w:t>
      </w:r>
      <w:proofErr w:type="spellEnd"/>
      <w:r w:rsidRPr="006811C9">
        <w:rPr>
          <w:color w:val="auto"/>
        </w:rPr>
        <w:t>. zm.) - w przypadku opon</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color w:val="auto"/>
        </w:rPr>
        <w:t>- jeżeli zostanie zachowana zgodność z kryteriami opłacalności i technicznej przydatności oraz będzie to ekonomicznie uzasadnione.</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5. Obowiązek spełnienia kryteriów, o których mowa w ust. 4 </w:t>
      </w:r>
      <w:proofErr w:type="spellStart"/>
      <w:r w:rsidRPr="006811C9">
        <w:rPr>
          <w:color w:val="auto"/>
        </w:rPr>
        <w:t>pkt</w:t>
      </w:r>
      <w:proofErr w:type="spellEnd"/>
      <w:r w:rsidRPr="006811C9">
        <w:rPr>
          <w:color w:val="auto"/>
        </w:rPr>
        <w:t xml:space="preserve"> 4, nie zabrania nabywania przez organy władzy publicznej opon o najwyższej klasie przyczepności na mokrej nawierzchni lub zewnętrznego hałasu toczenia, jeżeli jest to uzasadnione względami bezpieczeństwa lub zdrowia publicznego.</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6. Udzielając zamówienia publicznego, którego przedmiotem są usługi, organy władzy publicznej zobowiązują wykonawcę tej usługi do stosowania produktów spełniających wymagania określone w ust. 4, jeżeli na potrzeby wykonania tej usługi nabyte zostały nowe produkty.</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7. W wyniku podjętych działań, o których mowa w ust. 1 </w:t>
      </w:r>
      <w:proofErr w:type="spellStart"/>
      <w:r w:rsidRPr="006811C9">
        <w:rPr>
          <w:color w:val="auto"/>
        </w:rPr>
        <w:t>pkt</w:t>
      </w:r>
      <w:proofErr w:type="spellEnd"/>
      <w:r w:rsidRPr="006811C9">
        <w:rPr>
          <w:color w:val="auto"/>
        </w:rPr>
        <w:t xml:space="preserve"> 3-5, oszczędność energii pierwotnej do dnia 31 grudnia 2020 r. powinna wynosić nie mniej niż 2730 ton oleju ekwiwalentnego.</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8. Organy władzy publicznej, do dnia 31 stycznia każdego roku, przekazują ministrowi właściwemu do spraw budownictwa, planowania i zagospodarowania przestrzennego oraz mieszkalnictwa sprawozdania z podjętych działań, o których mowa w ust. 1 </w:t>
      </w:r>
      <w:proofErr w:type="spellStart"/>
      <w:r w:rsidRPr="006811C9">
        <w:rPr>
          <w:color w:val="auto"/>
        </w:rPr>
        <w:t>pkt</w:t>
      </w:r>
      <w:proofErr w:type="spellEnd"/>
      <w:r w:rsidRPr="006811C9">
        <w:rPr>
          <w:color w:val="auto"/>
        </w:rPr>
        <w:t xml:space="preserve"> 3-5, w roku poprzednim, dotyczących budynków należących do Skarbu Państwa i użytkowanych przez te organy.</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9. Minister właściwy do spraw budownictwa, planowania i zagospodarowania przestrzennego oraz mieszkalnictwa przekazuje ministrowi właściwemu do spraw energii, do dnia 31 marca każdego roku, informacje wynikające ze sprawozdań, o których mowa w ust. 8, o uzyskanych przez organy władzy publicznej oszczędnościach energii pierwotnej w budynkach użytkowanych przez te organy i należących do Skarbu Państwa.</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10. Minister właściwy do spraw energii przekazuje Komisji Europejskiej informacje, o których mowa w ust. 9, oraz sprawozdanie z postępu w dążeniu do osiągnięcia krajowego celu w zakresie efektywności energetycznej wymienionego w art. 4 ust. 2 </w:t>
      </w:r>
      <w:proofErr w:type="spellStart"/>
      <w:r w:rsidRPr="006811C9">
        <w:rPr>
          <w:color w:val="auto"/>
        </w:rPr>
        <w:t>pkt</w:t>
      </w:r>
      <w:proofErr w:type="spellEnd"/>
      <w:r w:rsidRPr="006811C9">
        <w:rPr>
          <w:color w:val="auto"/>
        </w:rPr>
        <w:t xml:space="preserve"> 2, do dnia 30 kwietnia każdego roku.</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9 [Promowanie środków poprawy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Minister właściwy do spraw energii, minister właściwy do spraw transportu oraz minister właściwy do spraw budownictwa, planowania i zagospodarowania przestrzennego oraz mieszkalnictwa:</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organizują kampanie promujące stosowanie środków poprawy efektywności energetycznej, w tym wprowadzanie innowacyjnych technologii;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prowadzą działania informacyjno-edukacyjne o dostępnych środkach poprawy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Minister właściwy do spraw energii, w ramach promowania środków poprawy efektywności energetycznej, prowadzi działania informacyjno-edukacyjne o zużyciu energii przez produkty wykorzystujące energię w rozumieniu ustawy z dnia 14 września 2012 r. o informowaniu o zużyciu energii przez produkty wykorzystujące energię oraz o kontroli realizacji programu znakowania urządzeń biurowych.</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3. Minister właściwy do spraw energii: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monitoruje stosowanie środków poprawy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zamieszcza w Biuletynie Informacji Publicznej na stronie podmiotowej ministra właściwego do spraw energii: </w:t>
      </w:r>
    </w:p>
    <w:p w:rsidR="007F0E70" w:rsidRPr="006811C9" w:rsidRDefault="007F0E70">
      <w:pPr>
        <w:pStyle w:val="divpkt"/>
        <w:rPr>
          <w:color w:val="auto"/>
        </w:rPr>
      </w:pPr>
      <w:r w:rsidRPr="006811C9">
        <w:rPr>
          <w:b/>
          <w:bCs/>
          <w:color w:val="auto"/>
        </w:rPr>
        <w:t xml:space="preserve"> a) </w:t>
      </w:r>
      <w:r w:rsidRPr="006811C9">
        <w:rPr>
          <w:color w:val="auto"/>
        </w:rPr>
        <w:t xml:space="preserve"> informacje o instrumentach służących finansowaniu środków poprawy efektywności energetycznej oraz sposobie ich pozyskiwania, </w:t>
      </w:r>
    </w:p>
    <w:p w:rsidR="007F0E70" w:rsidRPr="006811C9" w:rsidRDefault="007F0E70">
      <w:pPr>
        <w:pStyle w:val="divpkt"/>
        <w:rPr>
          <w:color w:val="auto"/>
        </w:rPr>
      </w:pPr>
      <w:r w:rsidRPr="006811C9">
        <w:rPr>
          <w:b/>
          <w:bCs/>
          <w:color w:val="auto"/>
        </w:rPr>
        <w:t xml:space="preserve"> b) </w:t>
      </w:r>
      <w:r w:rsidRPr="006811C9">
        <w:rPr>
          <w:color w:val="auto"/>
        </w:rPr>
        <w:t xml:space="preserve"> wytyczne dotyczące sposobu uwzględniania kryterium efektywności energetycznej w postępowaniu o udzielenie zamówienia publicznego. </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pStyle w:val="h1chapter"/>
        <w:rPr>
          <w:b w:val="0"/>
          <w:bCs w:val="0"/>
          <w:color w:val="auto"/>
        </w:rPr>
      </w:pPr>
      <w:r w:rsidRPr="006811C9">
        <w:rPr>
          <w:color w:val="auto"/>
        </w:rPr>
        <w:t xml:space="preserve">Rozdział 4. Zasady realizacji obowiązku uzyskania oszczędności energii. </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10 [Podmioty zobowiązane]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Podmioty, o których mowa w ust. 2, zwane dalej „podmiotami zobowiązanymi”, są obowiązane:</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zrealizować przedsięwzięcie lub przedsięwzięcia służące poprawie efektywności energetycznej u odbiorcy końcowego, w wyniku których uzyskuje się oszczędności energii finalnej w wysokości określonej w art. 14 ust. 1, potwierdzone audytem efektywności energetycznej, o którym mowa w art. 25, lub</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uzyskać i przedstawić do umorzenia Prezesowi URE świadectwo efektywności energetycznej, o którym mowa w art. 20 ust.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color w:val="auto"/>
        </w:rPr>
        <w:t>- z zastrzeżeniem art. 11.</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Obowiązek, o którym mowa w ust. 1, realizują:</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przedsiębiorstwo energetyczne wykonujące działalność gospodarczą w zakresie wytwarzania lub obrotu energią elektryczną, ciepłem lub gazem ziemnym i sprzedające energię elektryczną, ciepło lub gaz ziemny odbiorcom końcowym przyłączonym do sieci na terytorium Rzeczypospolitej Polskiej;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odbiorca końcowy przyłączony do sieci na terytorium Rzeczypospolitej Polskiej będący członkiem giełdy w rozumieniu ustawy z dnia 26 października 2000 r. o giełdach towarowych (</w:t>
      </w:r>
      <w:proofErr w:type="spellStart"/>
      <w:r w:rsidRPr="006811C9">
        <w:rPr>
          <w:color w:val="auto"/>
        </w:rPr>
        <w:t>Dz.U</w:t>
      </w:r>
      <w:proofErr w:type="spellEnd"/>
      <w:r w:rsidRPr="006811C9">
        <w:rPr>
          <w:color w:val="auto"/>
        </w:rPr>
        <w:t>. z 2016 r. poz. 719) lub członkiem rynku organizowanego przez podmiot prowadzący na terytorium Rzeczypospolitej Polskiej rynek regulowany, w odniesieniu do transakcji zawieranych we własnym imieniu na giełdzie towarowej lub na rynku organizowanym przez ten podmiot;</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odbiorca końcowy przyłączony do sieci na terytorium Rzeczypospolitej Polskiej będący członkiem giełdowej izby rozrachunkowej w rozumieniu ustawy z dnia 26 października 2000 r. o giełdach towarowych, w odniesieniu do transakcji zawieranych przez niego poza giełdą towarową lub rynkiem, o których mowa w </w:t>
      </w:r>
      <w:proofErr w:type="spellStart"/>
      <w:r w:rsidRPr="006811C9">
        <w:rPr>
          <w:color w:val="auto"/>
        </w:rPr>
        <w:t>pkt</w:t>
      </w:r>
      <w:proofErr w:type="spellEnd"/>
      <w:r w:rsidRPr="006811C9">
        <w:rPr>
          <w:color w:val="auto"/>
        </w:rPr>
        <w:t xml:space="preserve"> 2, będących przedmiotem rozliczeń prowadzonych w ramach tej izby przez spółkę prowadzącą giełdową izbę rozrachunkową, przez Krajowy Depozyt Papierów Wartościowych S.A. lub przez spółkę, której Krajowy Depozyt Papierów Wartościowych S.A. przekazał wykonywanie czynności z zakresu zadań, o których mowa w art. 48 ust. 2 ustawy z dnia 29 lipca 2005 r. o obrocie instrumentami finansowymi (</w:t>
      </w:r>
      <w:proofErr w:type="spellStart"/>
      <w:r w:rsidRPr="006811C9">
        <w:rPr>
          <w:color w:val="auto"/>
        </w:rPr>
        <w:t>Dz.U</w:t>
      </w:r>
      <w:proofErr w:type="spellEnd"/>
      <w:r w:rsidRPr="006811C9">
        <w:rPr>
          <w:color w:val="auto"/>
        </w:rPr>
        <w:t xml:space="preserve">. z 2014 r. poz. 94, z </w:t>
      </w:r>
      <w:proofErr w:type="spellStart"/>
      <w:r w:rsidRPr="006811C9">
        <w:rPr>
          <w:color w:val="auto"/>
        </w:rPr>
        <w:t>późn</w:t>
      </w:r>
      <w:proofErr w:type="spellEnd"/>
      <w:r w:rsidRPr="006811C9">
        <w:rPr>
          <w:color w:val="auto"/>
        </w:rPr>
        <w:t>. zm.</w:t>
      </w:r>
      <w:r w:rsidRPr="006811C9">
        <w:rPr>
          <w:color w:val="auto"/>
          <w:vertAlign w:val="superscript"/>
        </w:rPr>
        <w:t>6)</w:t>
      </w:r>
      <w:r w:rsidRPr="006811C9">
        <w:rPr>
          <w:color w:val="auto"/>
          <w:vertAlign w:val="superscript"/>
        </w:rPr>
        <w:footnoteReference w:customMarkFollows="1" w:id="6"/>
        <w:t xml:space="preserve"> </w:t>
      </w:r>
      <w:r w:rsidRPr="006811C9">
        <w:rPr>
          <w:color w:val="auto"/>
        </w:rPr>
        <w:t>);</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4) </w:t>
      </w:r>
      <w:r w:rsidRPr="006811C9">
        <w:rPr>
          <w:color w:val="auto"/>
        </w:rPr>
        <w:t xml:space="preserve"> odbiorca końcowy przyłączony do sieci na terytorium Rzeczypospolitej Polskiej sprowadzający gaz ziemny w ramach nabycia </w:t>
      </w:r>
      <w:proofErr w:type="spellStart"/>
      <w:r w:rsidRPr="006811C9">
        <w:rPr>
          <w:color w:val="auto"/>
        </w:rPr>
        <w:t>wewnątrzwspólnotowego</w:t>
      </w:r>
      <w:proofErr w:type="spellEnd"/>
      <w:r w:rsidRPr="006811C9">
        <w:rPr>
          <w:color w:val="auto"/>
        </w:rPr>
        <w:t xml:space="preserve"> lub importu w rozumieniu przepisów o podatku akcyzowym, w odniesieniu do ilości tego gazu zużytego na własny użytek;</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5) </w:t>
      </w:r>
      <w:r w:rsidRPr="006811C9">
        <w:rPr>
          <w:color w:val="auto"/>
        </w:rPr>
        <w:t xml:space="preserve"> towarowy dom maklerski lub dom maklerski w rozumieniu ustawy z dnia 26 października 2000 r. o giełdach towarowych, w odniesieniu do transakcji realizowanych na giełdzie towarowej lub na rynku organizowanym przez podmiot prowadzący na terytorium Rzeczypospolitej Polskiej rynek regulowany, na zlecenie odbiorców końcowych przyłączonych do sieci na terytorium Rzeczypospolitej Polskiej.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3. Obowiązek, o którym mowa w ust. 1, nie dotyczy przedsiębiorstwa energetycznego sprzedającego ciepło odbiorcom końcowym, jeżeli łączna wielkość zamówionej mocy cieplnej przez tych odbiorców nie przekracza 5 MW w danym roku kalendarzowym.</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11 [Realizacja obowiązku]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1. Obowiązek, o którym mowa w art. 10 ust. 1, w zakresie: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30% tego obowiązku za 2016 r.,</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20% tego obowiązku za 2017 r.,</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10% tego obowiązku za 2018 r.</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color w:val="auto"/>
        </w:rPr>
        <w:t>- podmiot zobowiązany może zrealizować, uiszczając opłatę zastępczą.</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Podmiot zobowiązany może również zrealizować obowiązek, o którym mowa w art. 10 ust. 1, za 2016 r., 2017 r. i 2018 r., uiszczając opłatę zastępczą w zakresie wyższym niż wskazany w ust. 1, jeżeli wykaże, że w roku kalendarzowym, którego dotyczy ten obowiązek, składał zlecenia kupna praw majątkowych wynikających ze świadectw efektywności energetycznej w transakcjach sesyjnych, lecz z powodu niewystarczającej liczby ofert sprzedaży tych praw lub gdy oferowana cena tych praw była wyższa niż jednostkowa opłata zastępcza, o której mowa w art. 12 ust. 2 i 3, nie nabył praw na sześciu sesjach w ciągu roku kalendarzowego, którego dotyczy obowiązek, o którym mowa w art. 10 ust.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3. Podmiot zobowiązany może również zrealizować obowiązek, o którym mowa w art. 10 ust. 1, za 2019 r. i za każdy kolejny rok, uiszczając opłatę zastępczą, jeżeli w transakcjach sesyjnych w ciągu roku kalendarzowego, którego dotyczy obowiązek, o którym mowa w art. 10 ust. 1, nie nabył praw majątkowych wynikających ze świadectw efektywności energetycznej z uwagi na fakt, że cena praw majątkowych wynikających z tych świadectw była wyższa niż wysokość jednostkowej opłaty zastępczej, o której mowa w art. 12 ust. 2 i 3, lub z uwagi na niewystarczającą liczbę ofert sprzedaży tych praw.</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12 [Opłata zastępcza, wysokość, uiszczanie]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Opłatę zastępczą oblicza się jako iloczyn jednostkowej opłaty zastępczej, o której mowa w ust. 2 i 3, i oszczędności energii finalnej, wyrażonej w tonach oleju ekwiwalentnego, wynikającej z wysokości obowiązku, o której mowa w art. 14 ust. 1, realizowanego w danym roku opłatą zastępczą.</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Jednostkowa opłata zastępcza wynosi: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1000 zł za 2016 r.,</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1500 zł za 2017 r.</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color w:val="auto"/>
        </w:rPr>
        <w:t>- za tonę oleju ekwiwalentnego.</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3. Wysokość jednostkowej opłaty zastępczej za rok 2018 oraz za każdy kolejny rok zwiększa się o 5% w stosunku do wysokości jednostkowej opłaty zastępczej obowiązującej za rok poprzedni.</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4. Opłatę zastępczą uiszcza się na rachunek bankowy Narodowego Funduszu Ochrony Środowiska i Gospodarki Wodnej, do dnia 30 czerwca roku następującego po roku, którego dotyczy obowiązek, o którym mowa w art. 10 ust. 1. Wpływy z opłaty zastępczej stanowią przychód tego Funduszu.</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5. Narodowy Fundusz Ochrony Środowiska i Gospodarki Wodnej przeznacza środki w wysokości stanowiącej równowartość wpływów z opłaty zastępczej na realizację przedsięwzięć służących poprawie efektywności energetycznej u odbiorców końcowych.</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6. Zarząd Narodowego Funduszu Ochrony Środowiska i Gospodarki Wodnej przekazuje ministrowi właściwemu do spraw energii sprawozdanie o wysokości środków przeznaczonych na realizację przedsięwzięć służących poprawie efektywności energetycznej u odbiorców końcowych oraz uzyskanej oszczędności energii finalnej w wyniku realizacji takich przedsięwzięć, w podziale na rodzaje przedsięwzięć wymienione w art. 19 ust. 1, do dnia 31 lipca każdego roku za poprzedni rok kalendarzowy.</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13 [Deklaracja dla domu maklerskiego o ilości energii elektrycznej lub gazu ziemnego zakupionych w wyniku transakcji]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1. Przedsiębiorstwo energetyczne posiadające koncesje na obrót energią elektryczną lub gazem ziemnym, w terminie miesiąca od zakończenia roku kalendarzowego, w którym zakupiło energię elektryczną lub gaz ziemny w wyniku transakcji zawartej za pośrednictwem towarowego domu maklerskiego lub domu maklerskiego na giełdzie towarowej, lub na rynku organizowanym przez podmiot prowadzący na terytorium Rzeczypospolitej Polskiej rynek regulowany, jest obowiązane przekazać towarowemu domowi maklerskiemu lub domowi maklerskiemu deklarację o ilości energii elektrycznej lub gazu ziemnego zakupionych w wyniku tej transakcji i zużytych na własny użytek oraz przeznaczonych do dalszej odsprzedaży.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Deklaracja, o której mowa w ust. 1, stanowi podstawę wykonania przez towarowy dom maklerski lub dom maklerski obowiązku, o którym mowa w art. 10 ust.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3. Realizacja zlecenia nabycia energii elektrycznej lub gazu ziemnego na giełdzie towarowej lub na rynku organizowanym przez podmiot prowadzący na terytorium Rzeczypospolitej Polskiej rynek regulowany, przez towarowy dom maklerski lub dom maklerski może nastąpić po złożeniu przez składającego zlecenie zabezpieczenia na pokrycie kosztów wykonania przez towarowy dom maklerski lub dom maklerski obowiązku, o którym mowa w art. 10 ust. 1, w zakresie określonym w art. 10 ust. 2 </w:t>
      </w:r>
      <w:proofErr w:type="spellStart"/>
      <w:r w:rsidRPr="006811C9">
        <w:rPr>
          <w:color w:val="auto"/>
        </w:rPr>
        <w:t>pkt</w:t>
      </w:r>
      <w:proofErr w:type="spellEnd"/>
      <w:r w:rsidRPr="006811C9">
        <w:rPr>
          <w:color w:val="auto"/>
        </w:rPr>
        <w:t xml:space="preserve"> 2. Wysokość zabezpieczenia oraz sposób jego złożenia określa umowa zawarta między towarowym domem maklerskim lub domem maklerskim a składającym zlecenie. </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14 [Oszczędność energii finalnej, zakres]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Podmioty zobowiązane są obowiązane uzyskać w każdym roku oszczędność energii finalnej w wysokości 1,5%:</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ilości energii elektrycznej, ciepła lub gazu ziemnego, wyrażonej w tonach oleju ekwiwalentnego, sprzedanych w danym roku odbiorcom końcowym przyłączonym do sieci na terytorium Rzeczypospolitej Polskiej, pomniejszonej o ilość energii zaoszczędzonej przez odbiorców końcowych, o których mowa w art. 15 ust. 1, określonej w oświadczeniu wskazanym w tym przepisie;</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ilości energii elektrycznej lub gazu ziemnego, wyrażonej w tonach oleju ekwiwalentnego, zakupionych w danym roku: </w:t>
      </w:r>
    </w:p>
    <w:p w:rsidR="007F0E70" w:rsidRPr="006811C9" w:rsidRDefault="007F0E70">
      <w:pPr>
        <w:pStyle w:val="divpkt"/>
        <w:rPr>
          <w:color w:val="auto"/>
        </w:rPr>
      </w:pPr>
      <w:r w:rsidRPr="006811C9">
        <w:rPr>
          <w:b/>
          <w:bCs/>
          <w:color w:val="auto"/>
        </w:rPr>
        <w:t xml:space="preserve"> a) </w:t>
      </w:r>
      <w:r w:rsidRPr="006811C9">
        <w:rPr>
          <w:color w:val="auto"/>
        </w:rPr>
        <w:t xml:space="preserve"> na giełdzie towarowej lub na rynku organizowanym przez podmiot prowadzący na terytorium Rzeczypospolitej Polskiej rynek regulowany w transakcjach zawieranych we własnym imieniu przez odbiorców końcowych, o których mowa w art. 10 ust. 2 </w:t>
      </w:r>
      <w:proofErr w:type="spellStart"/>
      <w:r w:rsidRPr="006811C9">
        <w:rPr>
          <w:color w:val="auto"/>
        </w:rPr>
        <w:t>pkt</w:t>
      </w:r>
      <w:proofErr w:type="spellEnd"/>
      <w:r w:rsidRPr="006811C9">
        <w:rPr>
          <w:color w:val="auto"/>
        </w:rPr>
        <w:t xml:space="preserve"> 2, </w:t>
      </w:r>
    </w:p>
    <w:p w:rsidR="007F0E70" w:rsidRPr="006811C9" w:rsidRDefault="007F0E70">
      <w:pPr>
        <w:pStyle w:val="divpkt"/>
        <w:rPr>
          <w:color w:val="auto"/>
        </w:rPr>
      </w:pPr>
      <w:r w:rsidRPr="006811C9">
        <w:rPr>
          <w:b/>
          <w:bCs/>
          <w:color w:val="auto"/>
        </w:rPr>
        <w:t xml:space="preserve"> b) </w:t>
      </w:r>
      <w:r w:rsidRPr="006811C9">
        <w:rPr>
          <w:color w:val="auto"/>
        </w:rPr>
        <w:t xml:space="preserve"> poza giełdą towarową lub rynkiem organizowanym przez podmiot prowadzący na terytorium Rzeczypospolitej Polskiej rynek regulowany lub przez spółkę, której Krajowy Depozyt Papierów Wartościowych S.A. przekazał wykonywanie czynności z zakresu zadań, o których mowa w art. 48 ust. 2 ustawy z dnia 29 lipca 2005 r. o obrocie instrumentami finansowymi, w transakcjach zawieranych we własnym imieniu przez odbiorców końcowych, o których mowa w art. 10 ust. 2 </w:t>
      </w:r>
      <w:proofErr w:type="spellStart"/>
      <w:r w:rsidRPr="006811C9">
        <w:rPr>
          <w:color w:val="auto"/>
        </w:rPr>
        <w:t>pkt</w:t>
      </w:r>
      <w:proofErr w:type="spellEnd"/>
      <w:r w:rsidRPr="006811C9">
        <w:rPr>
          <w:color w:val="auto"/>
        </w:rPr>
        <w:t xml:space="preserve"> 3, </w:t>
      </w:r>
    </w:p>
    <w:p w:rsidR="007F0E70" w:rsidRPr="006811C9" w:rsidRDefault="007F0E70">
      <w:pPr>
        <w:pStyle w:val="divpkt"/>
        <w:rPr>
          <w:color w:val="auto"/>
        </w:rPr>
      </w:pPr>
      <w:r w:rsidRPr="006811C9">
        <w:rPr>
          <w:b/>
          <w:bCs/>
          <w:color w:val="auto"/>
        </w:rPr>
        <w:t xml:space="preserve"> c) </w:t>
      </w:r>
      <w:r w:rsidRPr="006811C9">
        <w:rPr>
          <w:color w:val="auto"/>
        </w:rPr>
        <w:t xml:space="preserve"> przez towarowy dom maklerski lub dom maklerski w rozumieniu ustawy z dnia 26 października 2000 r. o giełdach towarowych, w odniesieniu do transakcji realizowanych na zlecenie odbiorców końcowych przyłączonych do sieci na terytorium Rzeczypospolitej Polskiej;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ilości gazu ziemnego, wyrażonej w tonach oleju ekwiwalentnego, sprowadzonego w danym roku na terytorium Rzeczypospolitej Polskiej w ramach nabycia </w:t>
      </w:r>
      <w:proofErr w:type="spellStart"/>
      <w:r w:rsidRPr="006811C9">
        <w:rPr>
          <w:color w:val="auto"/>
        </w:rPr>
        <w:t>wewnątrzwspólnotowego</w:t>
      </w:r>
      <w:proofErr w:type="spellEnd"/>
      <w:r w:rsidRPr="006811C9">
        <w:rPr>
          <w:color w:val="auto"/>
        </w:rPr>
        <w:t xml:space="preserve"> lub importu w rozumieniu przepisów o podatku akcyzowym i zużytego na własny użytek, inny niż cele </w:t>
      </w:r>
      <w:proofErr w:type="spellStart"/>
      <w:r w:rsidRPr="006811C9">
        <w:rPr>
          <w:color w:val="auto"/>
        </w:rPr>
        <w:t>nieenergetyczne</w:t>
      </w:r>
      <w:proofErr w:type="spellEnd"/>
      <w:r w:rsidRPr="006811C9">
        <w:rPr>
          <w:color w:val="auto"/>
        </w:rPr>
        <w:t>.</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2. Ilość gazu ziemnego sprzedanego w danym roku odbiorcom końcowym przyłączonym do sieci na terytorium Rzeczypospolitej Polskiej, o której mowa w ust. 1 </w:t>
      </w:r>
      <w:proofErr w:type="spellStart"/>
      <w:r w:rsidRPr="006811C9">
        <w:rPr>
          <w:color w:val="auto"/>
        </w:rPr>
        <w:t>pkt</w:t>
      </w:r>
      <w:proofErr w:type="spellEnd"/>
      <w:r w:rsidRPr="006811C9">
        <w:rPr>
          <w:color w:val="auto"/>
        </w:rPr>
        <w:t xml:space="preserve"> 1 i 2, pomniejsza się o ilość gazu ziemnego sprzedanego w danym roku:</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przedsiębiorstwom energetycznym w celu jego zużycia na potrzeby wytwarzania energii elektrycznej lub ciepła, z wyjątkiem gazu ziemnego sprzedanego w danym roku przedsiębiorstwom energetycznym, o których mowa w art. 10 ust. 3;</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w celu jego zużycia na cele </w:t>
      </w:r>
      <w:proofErr w:type="spellStart"/>
      <w:r w:rsidRPr="006811C9">
        <w:rPr>
          <w:color w:val="auto"/>
        </w:rPr>
        <w:t>nieenergetyczne</w:t>
      </w:r>
      <w:proofErr w:type="spellEnd"/>
      <w:r w:rsidRPr="006811C9">
        <w:rPr>
          <w:color w:val="auto"/>
        </w:rPr>
        <w:t>.</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3. Oszczędność energii finalnej uzyskana średnio w ciągu roku w wyniku realizacji przedsięwzięcia lub przedsięwzięć tego samego rodzaju służących poprawie efektywności energetycznej, o których mowa w art. 10 ust. 1 </w:t>
      </w:r>
      <w:proofErr w:type="spellStart"/>
      <w:r w:rsidRPr="006811C9">
        <w:rPr>
          <w:color w:val="auto"/>
        </w:rPr>
        <w:t>pkt</w:t>
      </w:r>
      <w:proofErr w:type="spellEnd"/>
      <w:r w:rsidRPr="006811C9">
        <w:rPr>
          <w:color w:val="auto"/>
        </w:rPr>
        <w:t xml:space="preserve"> 1, jest uwzględniana w poszczególnych latach realizacji obowiązku do wysokości, która nie przekracza sumy obowiązku za poszczególne lata zrealizowanego przy wykorzystaniu tego przedsięwzięcia lub tych przedsięwzięć.</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15 [Treść oświadczenia odbiorcy końcowego]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1. Odbiorca końcowy, który: - przedkłada przedsiębiorstwu energetycznemu sprzedającemu temu odbiorcy energię elektryczną, ciepło lub gaz ziemny informację, o której mowa w ust. 2, oraz oświadczenie następującej treści: </w:t>
      </w:r>
    </w:p>
    <w:p w:rsidR="007F0E70" w:rsidRPr="006811C9" w:rsidRDefault="007F0E70">
      <w:pPr>
        <w:pStyle w:val="divpkt"/>
        <w:rPr>
          <w:color w:val="auto"/>
        </w:rPr>
      </w:pPr>
      <w:r w:rsidRPr="006811C9">
        <w:rPr>
          <w:color w:val="auto"/>
        </w:rPr>
        <w:t>,, Świadomy odpowiedzialności karnej za złożenie fałszywego oświadczenia wynikającej z art. 233 § 6 ustawy z dnia 6 czerwca 1997 r. - Kodeks karny oświadczam, że zrealizowane zostało przedsięwzięcie lub przedsięwzięcia tego samego rodzaju służące poprawie efektywności energetycznej i uzyskana została oszczędność energii finalnej, wyrażona w tonach oleju ekwiwalentnego, potwierdzona w audycie efektywności energetycznej w rozumieniu ustawy z dnia 20 maja 2016 r. o efektywności energetycznej (</w:t>
      </w:r>
      <w:proofErr w:type="spellStart"/>
      <w:r w:rsidRPr="006811C9">
        <w:rPr>
          <w:color w:val="auto"/>
        </w:rPr>
        <w:t>Dz.U</w:t>
      </w:r>
      <w:proofErr w:type="spellEnd"/>
      <w:r w:rsidRPr="006811C9">
        <w:rPr>
          <w:color w:val="auto"/>
        </w:rPr>
        <w:t xml:space="preserve">. poz. 831)"; klauzula ta zastępuje pouczenie organu o odpowiedzialności karnej za składanie fałszywych oświadczeń.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w roku poprzedzającym rok realizacji obowiązku, o którym mowa w art. 10 ust. 1, zużył nie mniej niż 100 </w:t>
      </w:r>
      <w:proofErr w:type="spellStart"/>
      <w:r w:rsidRPr="006811C9">
        <w:rPr>
          <w:color w:val="auto"/>
        </w:rPr>
        <w:t>GWh</w:t>
      </w:r>
      <w:proofErr w:type="spellEnd"/>
      <w:r w:rsidRPr="006811C9">
        <w:rPr>
          <w:color w:val="auto"/>
        </w:rPr>
        <w:t xml:space="preserve"> energii elektrycznej i który wykonuje działalność gospodarczą oznaczoną następującymi kodami Polskiej Klasyfikacji Działalności (PKD): 0510, 0729, 0811, 0891, 0893, 0899, 1032, 1039, 1041, 1062, 1104, 1106, 1310, 1320, 1394, 1395, 1411, 1610, 1621, 1711, 1712, 1722, 1920, 2012, 2013, 2014, 2015, 2016, 2017, 2060, 2110, 2221, 2222, 2311, 2312, 2313, 2314, 2319, 2320, 2331, 2342, 2343, 2349, 2399, 2410, 2420, 2431, 2432, 2434, 2441, 2442, 2443, 2444, 2445, 2446, 2720, 3299, 2011, 2332, 2351, 2352, 2451, 2452, 2453, 2454, 2611, 2680, 3832 oraz</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zakończył, nie wcześniej niż w dniu 1 stycznia 2014 r., przedsięwzięcie lub przedsięwzięcia tego samego rodzaju służące poprawie efektywności energetycznej, ograniczając zużycie energii elektrycznej, ciepła lub gazu ziemnego, a w wyniku ich realizacji uzyskana została oszczędność energii finalnej w ilości nie mniejszej niż 10 ton oleju ekwiwalentnego średnio w ciągu roku</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2. Informacja przedkładana przedsiębiorstwu energetycznemu, o którym mowa w ust. 1, zawiera określenie: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przedsięwzięcia lub przedsięwzięć tego samego rodzaju służących poprawie efektywności energetycznej, o których mowa w ust.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ilości energii finalnej, wyrażonej w tonach oleju ekwiwalentnego, zaoszczędzonej średnio w ciągu roku w wyniku realizacji przedsięwzięcia lub przedsięwzięć tego samego rodzaju służących poprawie efektywności energetycznej, o których mowa w ust. 1 </w:t>
      </w:r>
      <w:proofErr w:type="spellStart"/>
      <w:r w:rsidRPr="006811C9">
        <w:rPr>
          <w:color w:val="auto"/>
        </w:rPr>
        <w:t>pkt</w:t>
      </w:r>
      <w:proofErr w:type="spellEnd"/>
      <w:r w:rsidRPr="006811C9">
        <w:rPr>
          <w:color w:val="auto"/>
        </w:rPr>
        <w:t xml:space="preserve"> 2;</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ilości energii finalnej, wyrażonej w tonach oleju ekwiwalentnego, niezbędnej do wykonania obowiązku, o którym mowa w art. 10 ust. 1, obliczonego od ilości energii elektrycznej ciepła lub gazu ziemnego zakupionych w danym roku przez odbiorcę końcowego, o którym mowa w ust.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3. Do oświadczenia, o którym mowa w ust. 1 </w:t>
      </w:r>
      <w:proofErr w:type="spellStart"/>
      <w:r w:rsidRPr="006811C9">
        <w:rPr>
          <w:color w:val="auto"/>
        </w:rPr>
        <w:t>pkt</w:t>
      </w:r>
      <w:proofErr w:type="spellEnd"/>
      <w:r w:rsidRPr="006811C9">
        <w:rPr>
          <w:color w:val="auto"/>
        </w:rPr>
        <w:t xml:space="preserve"> 2, należy dołączyć audyt efektywności energetycznej potwierdzający uzyskaną oszczędność energii finalnej.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4. Przedsiębiorstwo energetyczne, które otrzymało oświadczenie wraz z audytem efektywności energetycznej, przekazuje Prezesowi URE oświadczenie i audyt podczas wykonywania obowiązku, o którym mowa w art. 10 ust.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5. Odbiorca końcowy, o którym mowa w ust. 1, może w kolejnych latach przedstawić przedsiębiorstwu energetycznemu sprzedającym temu odbiorcy energię elektryczną, ciepło lub gaz ziemny oświadczenia zawierające dane dotyczące tego samego przedsięwzięcia lub przedsięwzięć tego samego rodzaju służących poprawie efektywności energetycznej, jeżeli suma ilości energii finalnej, o której mowa w ust. 2 </w:t>
      </w:r>
      <w:proofErr w:type="spellStart"/>
      <w:r w:rsidRPr="006811C9">
        <w:rPr>
          <w:color w:val="auto"/>
        </w:rPr>
        <w:t>pkt</w:t>
      </w:r>
      <w:proofErr w:type="spellEnd"/>
      <w:r w:rsidRPr="006811C9">
        <w:rPr>
          <w:color w:val="auto"/>
        </w:rPr>
        <w:t xml:space="preserve"> 3, określonej w poszczególnych oświadczeniach jest nie większa niż ilość energii finalnej, o której mowa w ust. 2 </w:t>
      </w:r>
      <w:proofErr w:type="spellStart"/>
      <w:r w:rsidRPr="006811C9">
        <w:rPr>
          <w:color w:val="auto"/>
        </w:rPr>
        <w:t>pkt</w:t>
      </w:r>
      <w:proofErr w:type="spellEnd"/>
      <w:r w:rsidRPr="006811C9">
        <w:rPr>
          <w:color w:val="auto"/>
        </w:rPr>
        <w:t xml:space="preserve"> 2.</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16 [Rozliczenie wykonania obowiązku]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1. Podmiot zobowiązany może rozliczyć wykonanie obowiązku, o którym mowa w art. 10 ust. 1, w zakresie nierealizowanym opłatą zastępczą, do dnia 30 czerwca trzeciego roku następującego po roku, którego dotyczy obowiązek, chyba że złożył do Prezesa URE wniosek o łączne rozliczenie wykonania obowiązku, o którym mowa w art. 10 ust. 1, za dwa lub trzy lata.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2. W przypadku łącznego rozliczenia wykonania obowiązku, o którym mowa w art. 10 ust. 1, w zakresie nierealizowanym opłatą zastępczą, dokonuje się go do dnia 30 czerwca roku następującego po ostatnim roku z dwuletniego lub trzyletniego okresu realizacji tego obowiązku.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3. Do rozliczenia wykonania obowiązku, o którym mowa w art. 10 ust. 1 </w:t>
      </w:r>
      <w:proofErr w:type="spellStart"/>
      <w:r w:rsidRPr="006811C9">
        <w:rPr>
          <w:color w:val="auto"/>
        </w:rPr>
        <w:t>pkt</w:t>
      </w:r>
      <w:proofErr w:type="spellEnd"/>
      <w:r w:rsidRPr="006811C9">
        <w:rPr>
          <w:color w:val="auto"/>
        </w:rPr>
        <w:t xml:space="preserve"> 1, nie zalicza się przedsięwzięcia lub przedsięwzięć tego samego rodzaju służących poprawie efektywności energetycznej, dla których zostały wydane świadectwa efektywności energetycznej, o których mowa w art. 20 ust.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4. Rozliczając wykonanie obowiązku, o którym mowa w art. 10 ust. 1 </w:t>
      </w:r>
      <w:proofErr w:type="spellStart"/>
      <w:r w:rsidRPr="006811C9">
        <w:rPr>
          <w:color w:val="auto"/>
        </w:rPr>
        <w:t>pkt</w:t>
      </w:r>
      <w:proofErr w:type="spellEnd"/>
      <w:r w:rsidRPr="006811C9">
        <w:rPr>
          <w:color w:val="auto"/>
        </w:rPr>
        <w:t xml:space="preserve"> 1, podmiot zobowiązany przedkłada Prezesowi URE audyt efektywności energetycznej, o którym mowa w art. 23, oraz oświadczenie następującej treści: </w:t>
      </w:r>
    </w:p>
    <w:p w:rsidR="007F0E70" w:rsidRPr="006811C9" w:rsidRDefault="007F0E70">
      <w:pPr>
        <w:pStyle w:val="pparinner"/>
        <w:rPr>
          <w:color w:val="auto"/>
        </w:rPr>
      </w:pPr>
      <w:r w:rsidRPr="006811C9">
        <w:rPr>
          <w:color w:val="auto"/>
        </w:rPr>
        <w:t>,, Świadomy odpowiedzialności karnej za złożenie fałszywego oświadczenia wynikającej z art. 233 § 6 ustawy z dnia 6 czerwca 1997 r. - Kodeks karny oświadczam, że zrealizowane zostało przedsięwzięcie lub przedsięwzięcia tego samego rodzaju służące poprawie efektywności energetycznej i uzyskana została oszczędność energii finalnej, wyrażona w tonach oleju ekwiwalentnego, potwierdzona w audycie efektywności energetycznej w rozumieniu ustawy z dnia 20 maja 2016 r. o efektywności energetycznej (</w:t>
      </w:r>
      <w:proofErr w:type="spellStart"/>
      <w:r w:rsidRPr="006811C9">
        <w:rPr>
          <w:color w:val="auto"/>
        </w:rPr>
        <w:t>Dz.U</w:t>
      </w:r>
      <w:proofErr w:type="spellEnd"/>
      <w:r w:rsidRPr="006811C9">
        <w:rPr>
          <w:color w:val="auto"/>
        </w:rPr>
        <w:t>. poz. 831)."; klauzula ta zastępuje pouczenie organu o odpowiedzialności karnej za składanie fałszywych oświadczeń.</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5. Podmiot zobowiązany w przypadku, o którym mowa w art. 11 ust. 2 i 3, rozliczając wykonanie obowiązku, o którym mowa w art. 10 ust. 1, przedkłada Prezesowi URE oświadczenie następującej treści: </w:t>
      </w:r>
    </w:p>
    <w:p w:rsidR="007F0E70" w:rsidRPr="006811C9" w:rsidRDefault="007F0E70">
      <w:pPr>
        <w:pStyle w:val="pparinner"/>
        <w:rPr>
          <w:color w:val="auto"/>
        </w:rPr>
      </w:pPr>
      <w:r w:rsidRPr="006811C9">
        <w:rPr>
          <w:color w:val="auto"/>
        </w:rPr>
        <w:t>,, Świadomy odpowiedzialności karnej za złożenie fałszywego oświadczenia wynikającej z art. 233 § 6 ustawy z dnia 6 czerwca 1997 r. - Kodeks karny oświadczam, że składałem zlecenia kupna praw majątkowych wynikających ze świadectw efektywności energetycznej w transakcjach sesyjnych, lecz z powodu niewystarczającej liczby ofert sprzedaży tych praw/oferowanej ceny tych praw wyższej niż wysokość jednostkowej opłaty zastępczej, o której mowa w art. 12 ust. 2 albo 3, nie nabyłem tych praw w roku kalendarzowym, którego dotyczy obowiązek, o którym mowa w art. 10 ust. 1 ustawy z dnia 20 maja 2016 r. o efektywności energetycznej (</w:t>
      </w:r>
      <w:proofErr w:type="spellStart"/>
      <w:r w:rsidRPr="006811C9">
        <w:rPr>
          <w:color w:val="auto"/>
        </w:rPr>
        <w:t>Dz.U</w:t>
      </w:r>
      <w:proofErr w:type="spellEnd"/>
      <w:r w:rsidRPr="006811C9">
        <w:rPr>
          <w:color w:val="auto"/>
        </w:rPr>
        <w:t>. poz. 831)"; klauzula ta zastępuje pouczenie organu o odpowiedzialności karnej za składanie fałszywych oświadczeń.</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17 [Ogłaszanie informacji o osiągniętej oszczędności energii finalnej]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Podmiot zobowiązany oraz odbiorca końcowy, o którym mowa w art. 15 ust. 1, przedstawiają Prezesowi URE, na jego żądanie, dokumenty lub informacje niezbędne do oceny wykonania obowiązku, o którym mowa w art. 10 ust. 1, oraz ogłoszenia informacji, o której mowa w ust. 2, z zachowaniem przepisów o ochronie informacji niejawnych i innych informacji prawnie chronionych.</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Prezes URE ogłasza w Biuletynie Informacji Publicznej Urzędu Regulacji Energetyki, zwanym dalej „BIP URE”, informacje o osiągniętej oszczędności energii finalnej wynikającej z realizacji obowiązku, o którym mowa w art. 10 ust. 1, przez podmioty zobowiązane, łącznie lub oddzielnie dla każdego z tych podmiotów, do dnia 31 grudnia danego roku następującego po roku wykonania obowiązku określonego w art. 10 ust. 1.</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18 [Oszczędność uzyskana do dnia 31 grudnia 2020 r.] </w:t>
      </w:r>
      <w:r w:rsidRPr="006811C9">
        <w:rPr>
          <w:color w:val="auto"/>
        </w:rPr>
        <w:t>Oszczędność energii finalnej uzyskana w wyniku realizacji obowiązku, o którym mowa w art. 10 ust. 1, do dnia 31 grudnia 2020 r. powinna wynosić nie mniej niż 2645 tys. ton oleju ekwiwalentnego.</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19 [Przedsięwzięcia służące poprawie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Poprawie efektywności energetycznej służą następujące rodzaje przedsięwzięć:</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izolacja instalacji przemysłowych;</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przebudowa lub remont budynku wraz z instalacjami i urządzeniami technicznymi;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modernizacja lub wymiana: </w:t>
      </w:r>
    </w:p>
    <w:p w:rsidR="007F0E70" w:rsidRPr="006811C9" w:rsidRDefault="007F0E70">
      <w:pPr>
        <w:pStyle w:val="divpkt"/>
        <w:rPr>
          <w:color w:val="auto"/>
        </w:rPr>
      </w:pPr>
      <w:r w:rsidRPr="006811C9">
        <w:rPr>
          <w:b/>
          <w:bCs/>
          <w:color w:val="auto"/>
        </w:rPr>
        <w:t xml:space="preserve"> a) </w:t>
      </w:r>
      <w:r w:rsidRPr="006811C9">
        <w:rPr>
          <w:color w:val="auto"/>
        </w:rPr>
        <w:t xml:space="preserve"> oświetlenia, </w:t>
      </w:r>
    </w:p>
    <w:p w:rsidR="007F0E70" w:rsidRPr="006811C9" w:rsidRDefault="007F0E70">
      <w:pPr>
        <w:pStyle w:val="divpkt"/>
        <w:rPr>
          <w:color w:val="auto"/>
        </w:rPr>
      </w:pPr>
      <w:r w:rsidRPr="006811C9">
        <w:rPr>
          <w:b/>
          <w:bCs/>
          <w:color w:val="auto"/>
        </w:rPr>
        <w:t xml:space="preserve"> b) </w:t>
      </w:r>
      <w:r w:rsidRPr="006811C9">
        <w:rPr>
          <w:color w:val="auto"/>
        </w:rPr>
        <w:t xml:space="preserve"> urządzeń i instalacji wykorzystywanych w procesach przemysłowych lub w procesach energetycznych lub telekomunikacyjnych lub informatycznych, </w:t>
      </w:r>
    </w:p>
    <w:p w:rsidR="007F0E70" w:rsidRPr="006811C9" w:rsidRDefault="007F0E70">
      <w:pPr>
        <w:pStyle w:val="divpkt"/>
        <w:rPr>
          <w:color w:val="auto"/>
        </w:rPr>
      </w:pPr>
      <w:r w:rsidRPr="006811C9">
        <w:rPr>
          <w:b/>
          <w:bCs/>
          <w:color w:val="auto"/>
        </w:rPr>
        <w:t xml:space="preserve"> c) </w:t>
      </w:r>
      <w:r w:rsidRPr="006811C9">
        <w:rPr>
          <w:color w:val="auto"/>
        </w:rPr>
        <w:t xml:space="preserve"> lokalnych sieci ciepłowniczych i lokalnych źródeł ciepła w rozumieniu art. 2 </w:t>
      </w:r>
      <w:proofErr w:type="spellStart"/>
      <w:r w:rsidRPr="006811C9">
        <w:rPr>
          <w:color w:val="auto"/>
        </w:rPr>
        <w:t>pkt</w:t>
      </w:r>
      <w:proofErr w:type="spellEnd"/>
      <w:r w:rsidRPr="006811C9">
        <w:rPr>
          <w:color w:val="auto"/>
        </w:rPr>
        <w:t xml:space="preserve"> 6 i 7 ustawy z dnia 21 listopada 2008 r. o wspieraniu termomodernizacji i remontów, </w:t>
      </w:r>
    </w:p>
    <w:p w:rsidR="007F0E70" w:rsidRPr="006811C9" w:rsidRDefault="007F0E70">
      <w:pPr>
        <w:pStyle w:val="divpkt"/>
        <w:rPr>
          <w:color w:val="auto"/>
        </w:rPr>
      </w:pPr>
      <w:r w:rsidRPr="006811C9">
        <w:rPr>
          <w:b/>
          <w:bCs/>
          <w:color w:val="auto"/>
        </w:rPr>
        <w:t xml:space="preserve"> d) </w:t>
      </w:r>
      <w:r w:rsidRPr="006811C9">
        <w:rPr>
          <w:color w:val="auto"/>
        </w:rPr>
        <w:t xml:space="preserve"> modernizacja lub wymiana urządzeń przeznaczonych do użytku domowego;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4) </w:t>
      </w:r>
      <w:r w:rsidRPr="006811C9">
        <w:rPr>
          <w:color w:val="auto"/>
        </w:rPr>
        <w:t xml:space="preserve"> odzyskiwanie energii, w tym odzyskiwanie energii w procesach przemysłowych;</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5) </w:t>
      </w:r>
      <w:r w:rsidRPr="006811C9">
        <w:rPr>
          <w:color w:val="auto"/>
        </w:rPr>
        <w:t xml:space="preserve"> ograniczenie strat: </w:t>
      </w:r>
    </w:p>
    <w:p w:rsidR="007F0E70" w:rsidRPr="006811C9" w:rsidRDefault="007F0E70">
      <w:pPr>
        <w:pStyle w:val="divpkt"/>
        <w:rPr>
          <w:color w:val="auto"/>
        </w:rPr>
      </w:pPr>
      <w:r w:rsidRPr="006811C9">
        <w:rPr>
          <w:b/>
          <w:bCs/>
          <w:color w:val="auto"/>
        </w:rPr>
        <w:t xml:space="preserve"> a) </w:t>
      </w:r>
      <w:r w:rsidRPr="006811C9">
        <w:rPr>
          <w:color w:val="auto"/>
        </w:rPr>
        <w:t xml:space="preserve"> związanych z poborem energii biernej, </w:t>
      </w:r>
    </w:p>
    <w:p w:rsidR="007F0E70" w:rsidRPr="006811C9" w:rsidRDefault="007F0E70">
      <w:pPr>
        <w:pStyle w:val="divpkt"/>
        <w:rPr>
          <w:color w:val="auto"/>
        </w:rPr>
      </w:pPr>
      <w:r w:rsidRPr="006811C9">
        <w:rPr>
          <w:b/>
          <w:bCs/>
          <w:color w:val="auto"/>
        </w:rPr>
        <w:t xml:space="preserve"> b) </w:t>
      </w:r>
      <w:r w:rsidRPr="006811C9">
        <w:rPr>
          <w:color w:val="auto"/>
        </w:rPr>
        <w:t xml:space="preserve"> sieciowych związanych z przesyłaniem lub dystrybucją energii elektrycznej lub gazu ziemnego, </w:t>
      </w:r>
    </w:p>
    <w:p w:rsidR="007F0E70" w:rsidRPr="006811C9" w:rsidRDefault="007F0E70">
      <w:pPr>
        <w:pStyle w:val="divpkt"/>
        <w:rPr>
          <w:color w:val="auto"/>
        </w:rPr>
      </w:pPr>
      <w:r w:rsidRPr="006811C9">
        <w:rPr>
          <w:b/>
          <w:bCs/>
          <w:color w:val="auto"/>
        </w:rPr>
        <w:t xml:space="preserve"> c) </w:t>
      </w:r>
      <w:r w:rsidRPr="006811C9">
        <w:rPr>
          <w:color w:val="auto"/>
        </w:rPr>
        <w:t xml:space="preserve"> na transformacji, </w:t>
      </w:r>
    </w:p>
    <w:p w:rsidR="007F0E70" w:rsidRPr="006811C9" w:rsidRDefault="007F0E70">
      <w:pPr>
        <w:pStyle w:val="divpkt"/>
        <w:rPr>
          <w:color w:val="auto"/>
        </w:rPr>
      </w:pPr>
      <w:r w:rsidRPr="006811C9">
        <w:rPr>
          <w:b/>
          <w:bCs/>
          <w:color w:val="auto"/>
        </w:rPr>
        <w:t xml:space="preserve"> d) </w:t>
      </w:r>
      <w:r w:rsidRPr="006811C9">
        <w:rPr>
          <w:color w:val="auto"/>
        </w:rPr>
        <w:t xml:space="preserve"> w sieciach ciepłowniczych, </w:t>
      </w:r>
    </w:p>
    <w:p w:rsidR="007F0E70" w:rsidRPr="006811C9" w:rsidRDefault="007F0E70">
      <w:pPr>
        <w:pStyle w:val="divpkt"/>
        <w:rPr>
          <w:color w:val="auto"/>
        </w:rPr>
      </w:pPr>
      <w:r w:rsidRPr="006811C9">
        <w:rPr>
          <w:b/>
          <w:bCs/>
          <w:color w:val="auto"/>
        </w:rPr>
        <w:t xml:space="preserve"> e) </w:t>
      </w:r>
      <w:r w:rsidRPr="006811C9">
        <w:rPr>
          <w:color w:val="auto"/>
        </w:rPr>
        <w:t xml:space="preserve"> związanych z systemami zasilania urządzeń telekomunikacyjnych lub informatycznych;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6) </w:t>
      </w:r>
      <w:r w:rsidRPr="006811C9">
        <w:rPr>
          <w:color w:val="auto"/>
        </w:rPr>
        <w:t xml:space="preserve"> stosowanie, do ogrzewania lub chłodzenia obiektów, energii wytwarzanej w instalacjach odnawialnego źródła energii, ciepła użytkowego w wysokosprawnej </w:t>
      </w:r>
      <w:proofErr w:type="spellStart"/>
      <w:r w:rsidRPr="006811C9">
        <w:rPr>
          <w:color w:val="auto"/>
        </w:rPr>
        <w:t>kogeneracji</w:t>
      </w:r>
      <w:proofErr w:type="spellEnd"/>
      <w:r w:rsidRPr="006811C9">
        <w:rPr>
          <w:color w:val="auto"/>
        </w:rPr>
        <w:t xml:space="preserve"> w rozumieniu ustawy z dnia 10 kwietnia 1997 r. - Prawo energetyczne lub ciepła odpadowego z instalacji przemysłowych.</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Minister właściwy do spraw energii ogłasza, w drodze obwieszczenia, w Dzienniku Urzędowym Rzeczypospolitej Polskiej „Monitor Polski”, szczegółowy wykaz przedsięwzięć służących poprawie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20 [Świadectwo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Potwierdzeniem planowanej do zaoszczędzenia ilości energii finalnej wynikającej z przedsięwzięcia lub przedsięwzięć tego samego rodzaju służących poprawie efektywności energetycznej, o których mowa w art. 19 ust. 1, jest świadectwo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Świadectwo efektywności energetycznej nie przysługuje dla przedsięwzięcia lub przedsięwzięć tego samego rodzaju służących poprawie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jeżeli na ich realizację przyznano: </w:t>
      </w:r>
    </w:p>
    <w:p w:rsidR="007F0E70" w:rsidRPr="006811C9" w:rsidRDefault="007F0E70">
      <w:pPr>
        <w:pStyle w:val="divpkt"/>
        <w:rPr>
          <w:color w:val="auto"/>
        </w:rPr>
      </w:pPr>
      <w:r w:rsidRPr="006811C9">
        <w:rPr>
          <w:b/>
          <w:bCs/>
          <w:color w:val="auto"/>
        </w:rPr>
        <w:t xml:space="preserve"> a) </w:t>
      </w:r>
      <w:r w:rsidRPr="006811C9">
        <w:rPr>
          <w:color w:val="auto"/>
        </w:rPr>
        <w:t xml:space="preserve"> premię </w:t>
      </w:r>
      <w:proofErr w:type="spellStart"/>
      <w:r w:rsidRPr="006811C9">
        <w:rPr>
          <w:color w:val="auto"/>
        </w:rPr>
        <w:t>termomodernizacyjną</w:t>
      </w:r>
      <w:proofErr w:type="spellEnd"/>
      <w:r w:rsidRPr="006811C9">
        <w:rPr>
          <w:color w:val="auto"/>
        </w:rPr>
        <w:t xml:space="preserve"> w rozumieniu ustawy z dnia 21 listopada 2008 r. o wspieraniu termomodernizacji i remontów, </w:t>
      </w:r>
    </w:p>
    <w:p w:rsidR="007F0E70" w:rsidRPr="006811C9" w:rsidRDefault="007F0E70">
      <w:pPr>
        <w:pStyle w:val="divpkt"/>
        <w:rPr>
          <w:color w:val="auto"/>
        </w:rPr>
      </w:pPr>
      <w:r w:rsidRPr="006811C9">
        <w:rPr>
          <w:b/>
          <w:bCs/>
          <w:color w:val="auto"/>
        </w:rPr>
        <w:t xml:space="preserve"> b) </w:t>
      </w:r>
      <w:r w:rsidRPr="006811C9">
        <w:rPr>
          <w:color w:val="auto"/>
        </w:rPr>
        <w:t xml:space="preserve"> pomoc inwestycyjną, w przypadku gdy przyznanie tego świadectwa spowoduje przekroczenie dopuszczalnej wysokości pomocy publicznej na to przedsięwzięcie lub te przedsięwzięcia, przyjmując, że wartość praw majątkowych wynikających z tych świadectw stanowi iloczyn kwoty 1500 zł za tonę oleju ekwiwalentnego oraz ilości energii finalnej, o której mowa w ust. 4 </w:t>
      </w:r>
      <w:proofErr w:type="spellStart"/>
      <w:r w:rsidRPr="006811C9">
        <w:rPr>
          <w:color w:val="auto"/>
        </w:rPr>
        <w:t>pkt</w:t>
      </w:r>
      <w:proofErr w:type="spellEnd"/>
      <w:r w:rsidRPr="006811C9">
        <w:rPr>
          <w:color w:val="auto"/>
        </w:rPr>
        <w:t xml:space="preserve"> 2 lit. b;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jeżeli w wyniku ich realizacji uzyskuje się oszczędność energii w ilości mniejszej niż 10 ton oleju ekwiwalentnego średnio w ciągu roku;</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określonych w oświadczeniu, o którym mowa w art. 15 ust.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4) </w:t>
      </w:r>
      <w:r w:rsidRPr="006811C9">
        <w:rPr>
          <w:color w:val="auto"/>
        </w:rPr>
        <w:t xml:space="preserve"> zrealizowanych w celu wypełnienia obowiązku, o którym mowa w art. 10 ust. 1 </w:t>
      </w:r>
      <w:proofErr w:type="spellStart"/>
      <w:r w:rsidRPr="006811C9">
        <w:rPr>
          <w:color w:val="auto"/>
        </w:rPr>
        <w:t>pkt</w:t>
      </w:r>
      <w:proofErr w:type="spellEnd"/>
      <w:r w:rsidRPr="006811C9">
        <w:rPr>
          <w:color w:val="auto"/>
        </w:rPr>
        <w:t xml:space="preserve">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3. Świadectwo efektywności energetycznej wydaje Prezes URE na wniosek podmiotu:</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u którego będzie realizowane przedsięwzięcie lub przedsięwzięcia tego samego rodzaju służące poprawie efektywności energetycznej, albo</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upoważnionego przez podmiot, o którym mowa w </w:t>
      </w:r>
      <w:proofErr w:type="spellStart"/>
      <w:r w:rsidRPr="006811C9">
        <w:rPr>
          <w:color w:val="auto"/>
        </w:rPr>
        <w:t>pkt</w:t>
      </w:r>
      <w:proofErr w:type="spellEnd"/>
      <w:r w:rsidRPr="006811C9">
        <w:rPr>
          <w:color w:val="auto"/>
        </w:rPr>
        <w:t xml:space="preserve">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4. Wniosek o wydanie świadectwa efektywności energetycznej zawiera:</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imię, nazwisko, numer PESEL - o ile został nadany, adres zamieszkania albo nazwę, adres siedziby oraz numer identyfikacji podatkowej (NIP) podmiotu, o którym mowa w ust. 3 </w:t>
      </w:r>
      <w:proofErr w:type="spellStart"/>
      <w:r w:rsidRPr="006811C9">
        <w:rPr>
          <w:color w:val="auto"/>
        </w:rPr>
        <w:t>pkt</w:t>
      </w:r>
      <w:proofErr w:type="spellEnd"/>
      <w:r w:rsidRPr="006811C9">
        <w:rPr>
          <w:color w:val="auto"/>
        </w:rPr>
        <w:t xml:space="preserve"> 1 albo 2;</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określenie: </w:t>
      </w:r>
    </w:p>
    <w:p w:rsidR="007F0E70" w:rsidRPr="006811C9" w:rsidRDefault="007F0E70">
      <w:pPr>
        <w:pStyle w:val="divpkt"/>
        <w:rPr>
          <w:color w:val="auto"/>
        </w:rPr>
      </w:pPr>
      <w:r w:rsidRPr="006811C9">
        <w:rPr>
          <w:b/>
          <w:bCs/>
          <w:color w:val="auto"/>
        </w:rPr>
        <w:t xml:space="preserve"> a) </w:t>
      </w:r>
      <w:r w:rsidRPr="006811C9">
        <w:rPr>
          <w:color w:val="auto"/>
        </w:rPr>
        <w:t xml:space="preserve"> przedsięwzięcia lub przedsięwzięć tego samego rodzaju służących poprawie efektywności energetycznej oraz miejsca ich lokalizacji, </w:t>
      </w:r>
    </w:p>
    <w:p w:rsidR="007F0E70" w:rsidRPr="006811C9" w:rsidRDefault="007F0E70">
      <w:pPr>
        <w:pStyle w:val="divpkt"/>
        <w:rPr>
          <w:color w:val="auto"/>
        </w:rPr>
      </w:pPr>
      <w:r w:rsidRPr="006811C9">
        <w:rPr>
          <w:b/>
          <w:bCs/>
          <w:color w:val="auto"/>
        </w:rPr>
        <w:t xml:space="preserve"> b) </w:t>
      </w:r>
      <w:r w:rsidRPr="006811C9">
        <w:rPr>
          <w:color w:val="auto"/>
        </w:rPr>
        <w:t xml:space="preserve"> ilości energii finalnej, wyrażonej w tonach oleju ekwiwalentnego, planowanej do zaoszczędzenia średnio w ciągu roku, w wyniku realizacji przedsięwzięcia lub przedsięwzięć tego samego rodzaju służących poprawie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wskazanie okresu uzyskiwania oszczędności energii finalnej dla danego przedsięwzięcia lub przedsięwzięć tego samego rodzaju służących poprawie efektywności energetycznej, wyrażonego w latach kalendarzowych;</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4) </w:t>
      </w:r>
      <w:r w:rsidRPr="006811C9">
        <w:rPr>
          <w:color w:val="auto"/>
        </w:rPr>
        <w:t xml:space="preserve"> oznaczenie terminu realizacji przedsięwzięcia lub przedsięwzięć tego samego rodzaju służących poprawie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5. Do wniosku o wydanie świadectwa efektywności energetycznej należy dołączyć:</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audyt efektywności energetycznej, z wyłączeniem audytu, o którym mowa w art. 25 ust. 3;</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oświadczenie następującej treści: </w:t>
      </w:r>
    </w:p>
    <w:p w:rsidR="007F0E70" w:rsidRPr="006811C9" w:rsidRDefault="007F0E70">
      <w:pPr>
        <w:pStyle w:val="pparinner"/>
        <w:rPr>
          <w:rFonts w:ascii="Times New Roman" w:hAnsi="Times New Roman" w:cs="Times New Roman"/>
          <w:color w:val="auto"/>
          <w:sz w:val="24"/>
          <w:szCs w:val="24"/>
        </w:rPr>
      </w:pPr>
    </w:p>
    <w:p w:rsidR="007F0E70" w:rsidRPr="006811C9" w:rsidRDefault="007F0E70">
      <w:pPr>
        <w:pStyle w:val="divquotblock"/>
        <w:rPr>
          <w:color w:val="auto"/>
        </w:rPr>
      </w:pPr>
      <w:r w:rsidRPr="006811C9">
        <w:rPr>
          <w:color w:val="auto"/>
        </w:rPr>
        <w:t xml:space="preserve"> Świadomy odpowiedzialności karnej za złożenie fałszywego oświadczenia wynikającej z art. 233 § 6 ustawy z dnia 6 czerwca 1997 r. - Kodeks karny oświadczam, że: </w:t>
      </w:r>
    </w:p>
    <w:p w:rsidR="007F0E70" w:rsidRPr="006811C9" w:rsidRDefault="007F0E70">
      <w:pPr>
        <w:pStyle w:val="divpkt"/>
        <w:rPr>
          <w:color w:val="auto"/>
        </w:rPr>
      </w:pPr>
      <w:r w:rsidRPr="006811C9">
        <w:rPr>
          <w:color w:val="auto"/>
        </w:rPr>
        <w:t xml:space="preserve">,, </w:t>
      </w:r>
      <w:r w:rsidRPr="006811C9">
        <w:rPr>
          <w:b/>
          <w:bCs/>
          <w:color w:val="auto"/>
        </w:rPr>
        <w:t xml:space="preserve">1) </w:t>
      </w:r>
      <w:r w:rsidRPr="006811C9">
        <w:rPr>
          <w:color w:val="auto"/>
        </w:rPr>
        <w:t xml:space="preserve"> dane i informacje zawarte we wniosku, o którym mowa w art. 20 ust. 4 ustawy z dnia 20 maja 2016 r. o efektywności energetycznej (</w:t>
      </w:r>
      <w:proofErr w:type="spellStart"/>
      <w:r w:rsidRPr="006811C9">
        <w:rPr>
          <w:color w:val="auto"/>
        </w:rPr>
        <w:t>Dz.U</w:t>
      </w:r>
      <w:proofErr w:type="spellEnd"/>
      <w:r w:rsidRPr="006811C9">
        <w:rPr>
          <w:color w:val="auto"/>
        </w:rPr>
        <w:t xml:space="preserve">. poz. 831), są zgodne z prawdą; </w:t>
      </w:r>
    </w:p>
    <w:p w:rsidR="007F0E70" w:rsidRPr="006811C9" w:rsidRDefault="007F0E70">
      <w:pPr>
        <w:pStyle w:val="divpkt"/>
        <w:rPr>
          <w:color w:val="auto"/>
        </w:rPr>
      </w:pPr>
      <w:r w:rsidRPr="006811C9">
        <w:rPr>
          <w:b/>
          <w:bCs/>
          <w:color w:val="auto"/>
        </w:rPr>
        <w:t xml:space="preserve">2) </w:t>
      </w:r>
      <w:r w:rsidRPr="006811C9">
        <w:rPr>
          <w:color w:val="auto"/>
        </w:rPr>
        <w:t xml:space="preserve"> nie zachodzą przesłanki, o których mowa w art. 20 ust. 2 </w:t>
      </w:r>
      <w:proofErr w:type="spellStart"/>
      <w:r w:rsidRPr="006811C9">
        <w:rPr>
          <w:color w:val="auto"/>
        </w:rPr>
        <w:t>pkt</w:t>
      </w:r>
      <w:proofErr w:type="spellEnd"/>
      <w:r w:rsidRPr="006811C9">
        <w:rPr>
          <w:color w:val="auto"/>
        </w:rPr>
        <w:t xml:space="preserve"> 1, 3 i 4 ustawy z dnia 20 maja 2016 r. o efektywności energetycznej. ";; klauzula ta zastępuje pouczenie organu o odpowiedzialności karnej za składanie fałszywych oświadczeń.</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6. W przypadku gdy wniosek o wydanie świadectwa efektywności energetycznej nie zawiera danych lub dokumentów, o których mowa w ust. 4 lub 5, Prezes URE niezwłocznie wzywa wnioskodawcę do uzupełnienia wniosku w terminie 7 dni od dnia doręczenia wezwania. Nieuzupełnienie wniosku w wyznaczonym terminie skutkuje pozostawieniem wniosku bez rozpoznania.</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7. Wniosek o wydanie świadectwa efektywności energetycznej może być złożony za pomocą środków komunikacji elektronicznej, o których mowa w ustawie z dnia 18 lipca 2002 r. o świadczeniu usług drogą elektroniczną (</w:t>
      </w:r>
      <w:proofErr w:type="spellStart"/>
      <w:r w:rsidRPr="006811C9">
        <w:rPr>
          <w:color w:val="auto"/>
        </w:rPr>
        <w:t>Dz.U</w:t>
      </w:r>
      <w:proofErr w:type="spellEnd"/>
      <w:r w:rsidRPr="006811C9">
        <w:rPr>
          <w:color w:val="auto"/>
        </w:rPr>
        <w:t>. z 2013 r. poz. 1422, z 2015 r. poz. 1844 oraz z 2016 r. poz. 147 i 615).</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21 [Treść świadectwa]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Świadectwo efektywności energetycznej zawiera w szczególności: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numer świadectwa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imię i nazwisko lub nazwę, adres siedziby oraz numer identyfikacji podatkowej (NIP) podmiotu, o którym mowa w art. 20 ust. 3 </w:t>
      </w:r>
      <w:proofErr w:type="spellStart"/>
      <w:r w:rsidRPr="006811C9">
        <w:rPr>
          <w:color w:val="auto"/>
        </w:rPr>
        <w:t>pkt</w:t>
      </w:r>
      <w:proofErr w:type="spellEnd"/>
      <w:r w:rsidRPr="006811C9">
        <w:rPr>
          <w:color w:val="auto"/>
        </w:rPr>
        <w:t xml:space="preserve"> 1 albo 2;</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określenie wartości świadectwa efektywności energetycznej, wyrażonej w tonach oleju ekwiwalentnego, równej ilości energii finalnej planowanej do zaoszczędzenia średnio w ciągu roku, w wyniku realizacji przedsięwzięcia lub przedsięwzięć tego samego rodzaju służących poprawie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2. Wartość świadectwa efektywności energetycznej, o której mowa w ust. 1 </w:t>
      </w:r>
      <w:proofErr w:type="spellStart"/>
      <w:r w:rsidRPr="006811C9">
        <w:rPr>
          <w:color w:val="auto"/>
        </w:rPr>
        <w:t>pkt</w:t>
      </w:r>
      <w:proofErr w:type="spellEnd"/>
      <w:r w:rsidRPr="006811C9">
        <w:rPr>
          <w:color w:val="auto"/>
        </w:rPr>
        <w:t xml:space="preserve"> 3, dla przedsięwzięcia lub przedsięwzięć tego samego rodzaju służących poprawie efektywności energetycznej, w wyniku których planowane jest uzyskanie oszczędności energii pierwotnej, ustala się z uwzględnieniem współczynników sprawności procesów przetwarzania energii pierwotnej w energię finalną, o których mowa w przepisach wydanych na podstawie art. 29.</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22 [Termin wydania świadectwa przez Prezesa URE]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Prezes URE wydaje świadectwo efektywności energetycznej, w terminie 45 dni od dnia złożenia wniosku o wydanie świadectwa efektywności energetycznej. Do wydawania świadectw efektywności energetycznej stosuje się odpowiednio przepisy ustawy z dnia 14 czerwca 1960 r. - Kodeks postępowania administracyjnego (</w:t>
      </w:r>
      <w:proofErr w:type="spellStart"/>
      <w:r w:rsidRPr="006811C9">
        <w:rPr>
          <w:color w:val="auto"/>
        </w:rPr>
        <w:t>Dz.U</w:t>
      </w:r>
      <w:proofErr w:type="spellEnd"/>
      <w:r w:rsidRPr="006811C9">
        <w:rPr>
          <w:color w:val="auto"/>
        </w:rPr>
        <w:t>. z 2016 r. poz. 23) o wydawaniu zaświadczeń.</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2. Prezes URE zamieszcza w BIP URE informacje o wydanych świadectwach efektywności energetycznej wraz z kartą audytu efektywności energetycznej, o której mowa w art. 25 ust. 1 </w:t>
      </w:r>
      <w:proofErr w:type="spellStart"/>
      <w:r w:rsidRPr="006811C9">
        <w:rPr>
          <w:color w:val="auto"/>
        </w:rPr>
        <w:t>pkt</w:t>
      </w:r>
      <w:proofErr w:type="spellEnd"/>
      <w:r w:rsidRPr="006811C9">
        <w:rPr>
          <w:color w:val="auto"/>
        </w:rPr>
        <w:t xml:space="preserve"> 2, w terminie 7 dni od dnia ich wydania. </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23 [Audyt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Podmiot, któremu wydano świadectwo efektywności energetycznej, sporządza audyt efektywności energetycznej potwierdzający uzyskanie planowanej oszczędności energii finalnej z zakończonego przedsięwzięcia lub przedsięwzięć tego samego rodzaju służących poprawie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Nie sporządza się audytu efektywności energetycznej, o którym mowa w ust. 1, dla przedsięwzięcia lub przedsięwzięć tego samego rodzaju służących poprawie efektywności energetycznej, których realizacja została zakończona, jeżeli dla tego przedsięwzięcia lub tych przedsięwzięć zaplanowano osiągnięcie oszczędności energii finalnej w ilości nieprzekraczającej równowartości 100 ton oleju ekwiwalentnego średnio w ciągu roku.</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24 [Zawiadomienie o zakończeniu realizacji przedsięwzięcia]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Podmiot, o którym mowa w art. 23 ust. 1, zawiadamia Prezesa URE o zakończeniu realizacji przedsięwzięcia lub przedsięwzięć tego samego rodzaju służących poprawie efektywności energetycznej, w terminie 45 dni od dnia zakończenia ich realizacji. Do zawiadomienia należy dołączyć:</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audyt efektywności energetycznej, o którym mowa w art. 23 ust. 1, jeżeli jest wymagany;</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oświadczenie następującej treści: </w:t>
      </w:r>
    </w:p>
    <w:p w:rsidR="007F0E70" w:rsidRPr="006811C9" w:rsidRDefault="007F0E70">
      <w:pPr>
        <w:pStyle w:val="divpkt"/>
        <w:rPr>
          <w:color w:val="auto"/>
        </w:rPr>
      </w:pPr>
      <w:r w:rsidRPr="006811C9">
        <w:rPr>
          <w:color w:val="auto"/>
        </w:rPr>
        <w:t xml:space="preserve">,, Świadomy odpowiedzialności karnej za złożenie fałszywego oświadczenia wynikającej z art. 233 § 6 ustawy z dnia 6 czerwca 1997 r. - Kodeks karny oświadczam, że zakończono przedsięwzięcie lub przedsięwzięcia tego samego rodzaju służące poprawie efektywności energetycznej i uzyskano oszczędność energii finalnej w ilości określonej w świadectwie efektywności energetycznej w rozumieniu przepisów o efektywności energetycznej. " klauzula ta zastępuje pouczenie organu o odpowiedzialności karnej za składanie fałszywych oświadczeń.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Prezes URE informuje podmiot, o którym mowa w art. 30 ust. 3, o świadectwie efektywności energetycznej wydanym dla podmiotu wskazanego w tym świadectwie, który zakończył realizację przedsięwzięcia lub przedsięwzięć tego samego rodzaju służących poprawie efektywności energetycznej, w terminie 30 dni od dnia otrzymania zawiadomienia, o którym mowa w ust. 1.</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25 [Zakres audytu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1. Audyt efektywności energetycznej, o którym mowa w art. 10 ust. 1 </w:t>
      </w:r>
      <w:proofErr w:type="spellStart"/>
      <w:r w:rsidRPr="006811C9">
        <w:rPr>
          <w:color w:val="auto"/>
        </w:rPr>
        <w:t>pkt</w:t>
      </w:r>
      <w:proofErr w:type="spellEnd"/>
      <w:r w:rsidRPr="006811C9">
        <w:rPr>
          <w:color w:val="auto"/>
        </w:rPr>
        <w:t xml:space="preserve"> 1, w art. 15 ust. 3, w art. 20 ust. 5 </w:t>
      </w:r>
      <w:proofErr w:type="spellStart"/>
      <w:r w:rsidRPr="006811C9">
        <w:rPr>
          <w:color w:val="auto"/>
        </w:rPr>
        <w:t>pkt</w:t>
      </w:r>
      <w:proofErr w:type="spellEnd"/>
      <w:r w:rsidRPr="006811C9">
        <w:rPr>
          <w:color w:val="auto"/>
        </w:rPr>
        <w:t xml:space="preserve"> 1 oraz wart. 23 ust. 1, zawiera w szczególności: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imię, nazwisko i adres zamieszkania albo nazwę i adres siedziby podmiotu: </w:t>
      </w:r>
    </w:p>
    <w:p w:rsidR="007F0E70" w:rsidRPr="006811C9" w:rsidRDefault="007F0E70">
      <w:pPr>
        <w:pStyle w:val="divpkt"/>
        <w:rPr>
          <w:color w:val="auto"/>
        </w:rPr>
      </w:pPr>
      <w:r w:rsidRPr="006811C9">
        <w:rPr>
          <w:b/>
          <w:bCs/>
          <w:color w:val="auto"/>
        </w:rPr>
        <w:t xml:space="preserve"> a) </w:t>
      </w:r>
      <w:r w:rsidRPr="006811C9">
        <w:rPr>
          <w:color w:val="auto"/>
        </w:rPr>
        <w:t xml:space="preserve"> u którego będzie realizowane przedsięwzięcie lub przedsięwzięcia tego samego rodzaju służące poprawie efektywności energetycznej albo </w:t>
      </w:r>
    </w:p>
    <w:p w:rsidR="007F0E70" w:rsidRPr="006811C9" w:rsidRDefault="007F0E70">
      <w:pPr>
        <w:pStyle w:val="divpkt"/>
        <w:rPr>
          <w:color w:val="auto"/>
        </w:rPr>
      </w:pPr>
      <w:r w:rsidRPr="006811C9">
        <w:rPr>
          <w:b/>
          <w:bCs/>
          <w:color w:val="auto"/>
        </w:rPr>
        <w:t xml:space="preserve"> b) </w:t>
      </w:r>
      <w:r w:rsidRPr="006811C9">
        <w:rPr>
          <w:color w:val="auto"/>
        </w:rPr>
        <w:t xml:space="preserve"> który zakończył przedsięwzięcie lub przedsięwzięcia tego samego rodzaju służące poprawie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kartę audytu efektywności energetycznej sporządzoną zgodnie ze wzorem określonym w przepisach wydanych na podstawie art. 29;</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oznaczenie przedsięwzięcia lub przedsięwzięć tego samego rodzaju służących poprawie efektywności energetycznej oraz miejsca ich lokalizacji;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4) </w:t>
      </w:r>
      <w:r w:rsidRPr="006811C9">
        <w:rPr>
          <w:color w:val="auto"/>
        </w:rPr>
        <w:t xml:space="preserve"> ocenę stanu technicznego obiektu, urządzenia technicznego lub instalacji;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5) </w:t>
      </w:r>
      <w:r w:rsidRPr="006811C9">
        <w:rPr>
          <w:color w:val="auto"/>
        </w:rPr>
        <w:t xml:space="preserve"> analizę: </w:t>
      </w:r>
    </w:p>
    <w:p w:rsidR="007F0E70" w:rsidRPr="006811C9" w:rsidRDefault="007F0E70">
      <w:pPr>
        <w:pStyle w:val="divpkt"/>
        <w:rPr>
          <w:color w:val="auto"/>
        </w:rPr>
      </w:pPr>
      <w:r w:rsidRPr="006811C9">
        <w:rPr>
          <w:b/>
          <w:bCs/>
          <w:color w:val="auto"/>
        </w:rPr>
        <w:t xml:space="preserve"> a) </w:t>
      </w:r>
      <w:r w:rsidRPr="006811C9">
        <w:rPr>
          <w:color w:val="auto"/>
        </w:rPr>
        <w:t xml:space="preserve"> zużycia energii przez obiekt, urządzenie techniczne lub instalację oraz </w:t>
      </w:r>
    </w:p>
    <w:p w:rsidR="007F0E70" w:rsidRPr="006811C9" w:rsidRDefault="007F0E70">
      <w:pPr>
        <w:pStyle w:val="divpkt"/>
        <w:rPr>
          <w:color w:val="auto"/>
        </w:rPr>
      </w:pPr>
      <w:r w:rsidRPr="006811C9">
        <w:rPr>
          <w:b/>
          <w:bCs/>
          <w:color w:val="auto"/>
        </w:rPr>
        <w:t xml:space="preserve"> b) </w:t>
      </w:r>
      <w:r w:rsidRPr="006811C9">
        <w:rPr>
          <w:color w:val="auto"/>
        </w:rPr>
        <w:t xml:space="preserve"> planowanych do uzyskania oszczędności energii z niezakończonego przedsięwzięcia lub przedsięwzięć tego samego rodzaju służących poprawie efektywności energetycznej albo </w:t>
      </w:r>
    </w:p>
    <w:p w:rsidR="007F0E70" w:rsidRPr="006811C9" w:rsidRDefault="007F0E70">
      <w:pPr>
        <w:pStyle w:val="divpkt"/>
        <w:rPr>
          <w:color w:val="auto"/>
        </w:rPr>
      </w:pPr>
      <w:r w:rsidRPr="006811C9">
        <w:rPr>
          <w:b/>
          <w:bCs/>
          <w:color w:val="auto"/>
        </w:rPr>
        <w:t xml:space="preserve"> c) </w:t>
      </w:r>
      <w:r w:rsidRPr="006811C9">
        <w:rPr>
          <w:color w:val="auto"/>
        </w:rPr>
        <w:t xml:space="preserve"> efektów uzyskanych z zakończonego przedsięwzięcia lub przedsięwzięć tego samego rodzaju służących poprawie efektywności energetycznej, w tym w szczególności określenie osiągniętej oszczędności energii.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2. Audyt efektywności energetycznej, o którym mowa w art. 20 ust. 5 </w:t>
      </w:r>
      <w:proofErr w:type="spellStart"/>
      <w:r w:rsidRPr="006811C9">
        <w:rPr>
          <w:color w:val="auto"/>
        </w:rPr>
        <w:t>pkt</w:t>
      </w:r>
      <w:proofErr w:type="spellEnd"/>
      <w:r w:rsidRPr="006811C9">
        <w:rPr>
          <w:color w:val="auto"/>
        </w:rPr>
        <w:t xml:space="preserve"> 1, powinien zawierać także opis możliwych rodzajów i wariantów realizacji przedsięwzięcia lub przedsięwzięć tego samego rodzaju służących poprawie efektywności energetycznej wraz z oceną opłacalności ekonomicznej tego przedsięwzięcia lub tych przedsięwzięć i możliwej do uzyskania oszczędności energii.</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3. Audyt efektywności energetycznej dostarczania ciepła zawiera ocenę efektywności energetycznej sieci ciepłowniczej oraz innego indywidualnego źródła ciepła wytwarzającego i dostarczającego ciepło do obiektu budowlanego, ze wskazaniem, który sposób dostarczania ciepła zapewnia większą efektywność energetyczną. Do audytu tego nie stosuje się ust. 1 </w:t>
      </w:r>
      <w:proofErr w:type="spellStart"/>
      <w:r w:rsidRPr="006811C9">
        <w:rPr>
          <w:color w:val="auto"/>
        </w:rPr>
        <w:t>pkt</w:t>
      </w:r>
      <w:proofErr w:type="spellEnd"/>
      <w:r w:rsidRPr="006811C9">
        <w:rPr>
          <w:color w:val="auto"/>
        </w:rPr>
        <w:t xml:space="preserve"> 4 i 5.</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4. Audyty efektywności energetycznej, o których mowa w art. 20 ust. 5 </w:t>
      </w:r>
      <w:proofErr w:type="spellStart"/>
      <w:r w:rsidRPr="006811C9">
        <w:rPr>
          <w:color w:val="auto"/>
        </w:rPr>
        <w:t>pkt</w:t>
      </w:r>
      <w:proofErr w:type="spellEnd"/>
      <w:r w:rsidRPr="006811C9">
        <w:rPr>
          <w:color w:val="auto"/>
        </w:rPr>
        <w:t xml:space="preserve"> 1oraz wart. 23 ust. 1, nie mogą być sporządzane przez tę samą osobę dla tego samego przedsięwzięcia lub przedsięwzięć tego samego rodzaju służących poprawie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26 [Weryfikacja oszczędności energii finalnej]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Prezes URE dokonuje wyrywkowej weryfikacji: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audytu efektywności energetycznej, o którym mowa w art. 10 ust. 1 </w:t>
      </w:r>
      <w:proofErr w:type="spellStart"/>
      <w:r w:rsidRPr="006811C9">
        <w:rPr>
          <w:color w:val="auto"/>
        </w:rPr>
        <w:t>pkt</w:t>
      </w:r>
      <w:proofErr w:type="spellEnd"/>
      <w:r w:rsidRPr="006811C9">
        <w:rPr>
          <w:color w:val="auto"/>
        </w:rPr>
        <w:t xml:space="preserve"> 1, art. 15 ust. 3, art. 20 ust. 5 </w:t>
      </w:r>
      <w:proofErr w:type="spellStart"/>
      <w:r w:rsidRPr="006811C9">
        <w:rPr>
          <w:color w:val="auto"/>
        </w:rPr>
        <w:t>pkt</w:t>
      </w:r>
      <w:proofErr w:type="spellEnd"/>
      <w:r w:rsidRPr="006811C9">
        <w:rPr>
          <w:color w:val="auto"/>
        </w:rPr>
        <w:t xml:space="preserve"> 1 lub art. 23 ust.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zgodności oszczędności energii finalnej osiągniętej z przedsięwzięcia lub przedsięwzięć tego samego rodzaju służących poprawie efektywności energetycznej, których realizację zakończono, z ilością energii finalnej określonej we wniosku o wydanie świadectwa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Prezes URE może zlecić dokonanie wyrywkowej weryfikacji, o której mowa w ust. 1, podmiotowi wyłonionemu zgodnie z przepisami o zamówieniach publicznych.</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3. O negatywnej weryfikacji oszczędności energii finalnej Prezes URE zawiadamia niezwłocznie podmiot, który realizuje obowiązek, o którym mowa w art. 10 ust. 1 </w:t>
      </w:r>
      <w:proofErr w:type="spellStart"/>
      <w:r w:rsidRPr="006811C9">
        <w:rPr>
          <w:color w:val="auto"/>
        </w:rPr>
        <w:t>pkt</w:t>
      </w:r>
      <w:proofErr w:type="spellEnd"/>
      <w:r w:rsidRPr="006811C9">
        <w:rPr>
          <w:color w:val="auto"/>
        </w:rPr>
        <w:t xml:space="preserve"> 1, oraz podmiot, o którym mowa w art. 15 ust. 5, art. 20 ust. 3 lub art. 25 ust. 1 </w:t>
      </w:r>
      <w:proofErr w:type="spellStart"/>
      <w:r w:rsidRPr="006811C9">
        <w:rPr>
          <w:color w:val="auto"/>
        </w:rPr>
        <w:t>pkt</w:t>
      </w:r>
      <w:proofErr w:type="spellEnd"/>
      <w:r w:rsidRPr="006811C9">
        <w:rPr>
          <w:color w:val="auto"/>
        </w:rPr>
        <w:t xml:space="preserve"> 1.</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27 [Skutki negatywnej weryfikacji] </w:t>
      </w:r>
      <w:r w:rsidRPr="006811C9">
        <w:rPr>
          <w:color w:val="auto"/>
        </w:rPr>
        <w:t>Podmiot, który zawiadamiając Prezesa URE o zakończeniu realizacji przedsięwzięcia lub przedsięwzięć tego samego rodzaju służących poprawie efektywności energetycznej, udzielił nieprawdziwych lub wprowadzających w błąd informacji o zakończeniu ich realizacji, a także w przypadku negatywnej weryfikacji oszczędności energii, o której mowa w art. 26 ust. 3, nie może występować z wnioskiem o wydanie świadectwa efektywności energetycznej przez 5 lat od dnia, w którym przedsięwzięcie to lub przedsięwzięcia te powinny być zakończone.</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28 [Wartość świadectwa przedstawionego do umorzenia]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Podmiot, któremu wydano świadectwo efektywności energetycznej o wartości odpowiadającej ilości energii finalnej większej niż ilość energii zaoszczędzonej z przedsięwzięcia lub przedsięwzięć tego samego rodzaju służących poprawie efektywności energetycznej, których realizację zakończono, stwierdzonej przez Prezesa URE na podstawie dokonanej weryfikacji oszczędności energii finalnej, o której mowa w art. 26 ust. 1, jest obowiązany, w terminie 6 miesięcy od dnia otrzymania zawiadomienia, o którym mowa w ust. 3, przedstawić do umorzenia Prezesowi URE świadectwo efektywności energetycznej o wartości określonej w ust. 2.</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Wartość świadectwa efektywności energetycznej, które jest obowiązany przedstawić do umorzenia podmiot, o którym mowa w ust. 1, stanowi różnicę między ilością energii finalnej wynikającą ze świadectwa efektywności energetycznej przyznanego temu podmiotowi a ilością energii zaoszczędzonej, o której mowa w ust. 1, wyrażoną w tonach oleju ekwiwalentnego.</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3. Prezes URE niezwłocznie zawiadamia podmiot, o którym mowa w ust. 1, o obowiązku przedstawienia do umorzenia świadectwa efektywności energetycznej o wartości, o której mowa w ust. 2.</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4. Do wykonywania obowiązku, o którym mowa w ust. 3, stosuje się odpowiednio przepisy art. 30 i art. 31.</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29 [Delegacja ustawowa] </w:t>
      </w:r>
      <w:r w:rsidRPr="006811C9">
        <w:rPr>
          <w:color w:val="auto"/>
        </w:rPr>
        <w:t>Minister właściwy do spraw energii określi, w drodze rozporządzenia:</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szczegółowy zakres i sposób sporządzania audytu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wzór karty, o której mowa w art. 25 ust. 1 </w:t>
      </w:r>
      <w:proofErr w:type="spellStart"/>
      <w:r w:rsidRPr="006811C9">
        <w:rPr>
          <w:color w:val="auto"/>
        </w:rPr>
        <w:t>pkt</w:t>
      </w:r>
      <w:proofErr w:type="spellEnd"/>
      <w:r w:rsidRPr="006811C9">
        <w:rPr>
          <w:color w:val="auto"/>
        </w:rPr>
        <w:t xml:space="preserve"> 2,</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szczegółowy sposób i tryb wyrywkowej weryfikacji audytu efektywności energetycznej, o której mowa w art. 26 ust.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4) </w:t>
      </w:r>
      <w:r w:rsidRPr="006811C9">
        <w:rPr>
          <w:color w:val="auto"/>
        </w:rPr>
        <w:t xml:space="preserve"> dane i metody, które mogą być wykorzystywane przy określaniu i weryfikacji uzyskanych oszczędności energii,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5) </w:t>
      </w:r>
      <w:r w:rsidRPr="006811C9">
        <w:rPr>
          <w:color w:val="auto"/>
        </w:rPr>
        <w:t xml:space="preserve"> sposób sporządzania oceny efektywności energetycznej dostarczania ciepła, o której mowa w art. 25 ust. 3,</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6) </w:t>
      </w:r>
      <w:r w:rsidRPr="006811C9">
        <w:rPr>
          <w:color w:val="auto"/>
        </w:rPr>
        <w:t xml:space="preserve"> współczynniki sprawności procesów przetwarzania energii pierwotnej w energię finalną,</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7) </w:t>
      </w:r>
      <w:r w:rsidRPr="006811C9">
        <w:rPr>
          <w:color w:val="auto"/>
        </w:rPr>
        <w:t xml:space="preserve"> sposób przeliczania jednostek energii na porównywalne jednostki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color w:val="auto"/>
        </w:rPr>
        <w:t>- biorąc pod uwagę aktualny stan wiedzy technicznej w zakresie efektywności energetycznej, zapewnienie zharmonizowanych zasad pomiarów oraz sprawnej i prawidłowej weryfikacji oszczędności energii.</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30 [Prawa majątkowe wynikające ze świadectwa efektywności]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Prawa majątkowe wynikające ze świadectwa efektywności energetycznej są towarem giełdowym w rozumieniu ustawy z dnia 26 października 2000 r. o giełdach towarowych. Prawa te są zbywalne.</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Prawa majątkowe wynikające ze świadectwa efektywności energetycznej powstają z chwilą zapisania świadectwa efektywności energetycznej po raz pierwszy na koncie w rejestrze świadectw efektywności energetycznej, na podstawie informacji, o której mowa w art. 24 ust. 2, i przysługują podmiotowi będącemu posiadaczem tego konta.</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3. Przeniesienie praw majątkowych wynikających ze świadectwa efektywności energetycznej następuje z chwilą dokonania odpowiedniego zapisu w rejestrze świadectw efektywności energetycznej prowadzonym przez podmiot prowadzący:</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giełdę towarową w rozumieniu ustawy z dnia 26 października 2000 r. o giełdach towarowych lub</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na terytorium Rzeczypospolitej Polskiej rynek regulowany w rozumieniu ustawy z dnia 29 lipca 2005 r. o obrocie instrumentami finansowymi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color w:val="auto"/>
        </w:rPr>
        <w:t>- organizujący obrót prawami majątkowymi wynikającymi ze świadectw efektywności energetycznej.</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4. Podmiot, o którym mowa w ust. 3, jest obowiązany prowadzić rejestr świadectw efektywności energetycznej w sposób zapewniający:</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identyfikację: </w:t>
      </w:r>
    </w:p>
    <w:p w:rsidR="007F0E70" w:rsidRPr="006811C9" w:rsidRDefault="007F0E70">
      <w:pPr>
        <w:pStyle w:val="divpkt"/>
        <w:rPr>
          <w:color w:val="auto"/>
        </w:rPr>
      </w:pPr>
      <w:r w:rsidRPr="006811C9">
        <w:rPr>
          <w:b/>
          <w:bCs/>
          <w:color w:val="auto"/>
        </w:rPr>
        <w:t xml:space="preserve"> a) </w:t>
      </w:r>
      <w:r w:rsidRPr="006811C9">
        <w:rPr>
          <w:color w:val="auto"/>
        </w:rPr>
        <w:t xml:space="preserve"> podmiotów, którym przysługują prawa majątkowe wynikające ze świadectw efektywności energetycznej, </w:t>
      </w:r>
    </w:p>
    <w:p w:rsidR="007F0E70" w:rsidRPr="006811C9" w:rsidRDefault="007F0E70">
      <w:pPr>
        <w:pStyle w:val="divpkt"/>
        <w:rPr>
          <w:color w:val="auto"/>
        </w:rPr>
      </w:pPr>
      <w:r w:rsidRPr="006811C9">
        <w:rPr>
          <w:b/>
          <w:bCs/>
          <w:color w:val="auto"/>
        </w:rPr>
        <w:t xml:space="preserve"> b) </w:t>
      </w:r>
      <w:r w:rsidRPr="006811C9">
        <w:rPr>
          <w:color w:val="auto"/>
        </w:rPr>
        <w:t xml:space="preserve"> przysługujących praw majątkowych wynikających ze świadectw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zgodność ilości energii finalnej objętej świadectwami efektywności energetycznej wpisanymi do rejestru świadectw efektywności energetycznej z ilością energii finalnej odpowiadającą prawom majątkowym wynikającym z tych świadectw.</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5. Wpis do rejestru świadectw efektywności energetycznej oraz dokonane zmiany wpisu w tym rejestrze podlegają opłacie w wysokości odzwierciedlającej koszty prowadzenia rejestru.</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31 [Wniosek o wydanie dokumentu stwierdzającego prawa majątkowe]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Podmiot zobowiązany lub inny podmiot, któremu przysługują prawa majątkowe wynikające ze świadectwa efektywności energetycznej, składa do podmiotu, o którym mowa w art. 30 ust. 3, wniosek o wydanie dokumentu stwierdzającego prawa majątkowe wynikające z tego świadectwa.</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Podmiot, o którym mowa w art. 30 ust. 3, jest obowiązany wydać dokument stwierdzający prawa majątkowe wynikające ze świadectwa efektywności energetycznej, w terminie 14 dni od dnia złożenia wniosku, o którym mowa w ust. 1.</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32 [Umorzenie świadectw]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Prezes URE, na wniosek podmiotu zobowiązanego, któremu przysługują prawa majątkowe wynikające ze świadectw efektywności energetycznej, w drodze decyzji, umarza te świadectwa w całości albo w części.</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2. Towarowy dom maklerski lub dom maklerski, wykonując obowiązek, o którym mowa w art. 10 ust. 1 </w:t>
      </w:r>
      <w:proofErr w:type="spellStart"/>
      <w:r w:rsidRPr="006811C9">
        <w:rPr>
          <w:color w:val="auto"/>
        </w:rPr>
        <w:t>pkt</w:t>
      </w:r>
      <w:proofErr w:type="spellEnd"/>
      <w:r w:rsidRPr="006811C9">
        <w:rPr>
          <w:color w:val="auto"/>
        </w:rPr>
        <w:t xml:space="preserve"> 2, w odniesieniu do transakcji realizowanych na zlecenie odbiorców końcowych, może złożyć wniosek do Prezesa URE o umorzenie świadectw efektywności energetycznej należących do innego podmiotu, któremu przysługują wynikające z tych świadectw prawa majątkowe, o ile dołączy pisemną zgodę tego podmiotu na zaliczenie tych świadectw do wypełnienia obowiązku przez towarowy dom maklerski lub dom maklerski.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3. Świadectwo efektywności energetycznej umorzone do dnia 30 czerwca danego roku kalendarzowego jest uwzględniane przy rozliczeniu wykonania obowiązku określonego w art. 10 ust. 1 </w:t>
      </w:r>
      <w:proofErr w:type="spellStart"/>
      <w:r w:rsidRPr="006811C9">
        <w:rPr>
          <w:color w:val="auto"/>
        </w:rPr>
        <w:t>pkt</w:t>
      </w:r>
      <w:proofErr w:type="spellEnd"/>
      <w:r w:rsidRPr="006811C9">
        <w:rPr>
          <w:color w:val="auto"/>
        </w:rPr>
        <w:t xml:space="preserve"> 2 za poprzedni rok kalendarzowy, z zastrzeżeniem art. 16 ust. 1 i 2.</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4. Prawa majątkowe wynikające ze świadectwa efektywności energetycznej wygasają z chwilą umorzenia tego świadectwa.</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5. Podmiot zobowiązany wraz z wnioskiem o umorzenie świadectwa efektywności energetycznej przedkłada Prezesowi URE dokument, o którym mowa w art. 31 ust. 2.</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6. Prezes URE przekazuje informacje o umorzonych świadectwach efektywności energetycznej podmiotowi, o którym mowa w art. 30 ust. 3.</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33 [Kontrola zgodności oświadczenia] </w:t>
      </w:r>
      <w:r w:rsidRPr="006811C9">
        <w:rPr>
          <w:color w:val="auto"/>
        </w:rPr>
        <w:t xml:space="preserve">Prezes URE może przeprowadzić kontrolę zgodności ze stanem faktycznym oświadczenia, o którym mowa w art. 20 ust. 5 </w:t>
      </w:r>
      <w:proofErr w:type="spellStart"/>
      <w:r w:rsidRPr="006811C9">
        <w:rPr>
          <w:color w:val="auto"/>
        </w:rPr>
        <w:t>pkt</w:t>
      </w:r>
      <w:proofErr w:type="spellEnd"/>
      <w:r w:rsidRPr="006811C9">
        <w:rPr>
          <w:color w:val="auto"/>
        </w:rPr>
        <w:t xml:space="preserve"> 2, w zakresie, o którym mowa w art. 20 ust. 2 </w:t>
      </w:r>
      <w:proofErr w:type="spellStart"/>
      <w:r w:rsidRPr="006811C9">
        <w:rPr>
          <w:color w:val="auto"/>
        </w:rPr>
        <w:t>pkt</w:t>
      </w:r>
      <w:proofErr w:type="spellEnd"/>
      <w:r w:rsidRPr="006811C9">
        <w:rPr>
          <w:color w:val="auto"/>
        </w:rPr>
        <w:t xml:space="preserve"> 1 lit. b.</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34 [Pracownicy przeprowadzający kontrolę]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Czynności kontrolne wykonują pracownicy Urzędu Regulacji Energetyki, zwani dalej „przeprowadzającymi kontrolę”, na podstawie pisemnego upoważnienia Prezesa URE.</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Przeprowadzający kontrolę są uprawnieni do żądania ustnych lub pisemnych wyjaśnień, okazania dokumentów lub danych zawartych na innych nośnikach informacji, mających związek z przedmiotem kontroli, oraz udostępnienia ich.</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35 [Protokół z kontroli]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1. Z przeprowadzonej kontroli sporządza się protokół zawierający ocenę zgodności ze stanem faktycznym oświadczenia, o którym mowa w art. 20 ust. 5 </w:t>
      </w:r>
      <w:proofErr w:type="spellStart"/>
      <w:r w:rsidRPr="006811C9">
        <w:rPr>
          <w:color w:val="auto"/>
        </w:rPr>
        <w:t>pkt</w:t>
      </w:r>
      <w:proofErr w:type="spellEnd"/>
      <w:r w:rsidRPr="006811C9">
        <w:rPr>
          <w:color w:val="auto"/>
        </w:rPr>
        <w:t xml:space="preserve"> 2, w zakresie, o którym mowa w art. 20 ust. 2 </w:t>
      </w:r>
      <w:proofErr w:type="spellStart"/>
      <w:r w:rsidRPr="006811C9">
        <w:rPr>
          <w:color w:val="auto"/>
        </w:rPr>
        <w:t>pkt</w:t>
      </w:r>
      <w:proofErr w:type="spellEnd"/>
      <w:r w:rsidRPr="006811C9">
        <w:rPr>
          <w:color w:val="auto"/>
        </w:rPr>
        <w:t xml:space="preserve"> 1 lit. b. Termin do złożenia zastrzeżeń do protokołu nie może być krótszy niż 7 dni od dnia jego doręczenia kontrolowanemu.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W przypadku odmowy podpisania protokołu przez kontrolowanego przeprowadzający kontrolę zamieszczają o tym adnotację w protokole.</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 xml:space="preserve">3. W przypadku stwierdzenia w wyniku kontroli niezgodności ze stanem faktycznym złożonego oświadczenia, o którym mowa w art. 20 ust. 5 </w:t>
      </w:r>
      <w:proofErr w:type="spellStart"/>
      <w:r w:rsidRPr="006811C9">
        <w:rPr>
          <w:color w:val="auto"/>
        </w:rPr>
        <w:t>pkt</w:t>
      </w:r>
      <w:proofErr w:type="spellEnd"/>
      <w:r w:rsidRPr="006811C9">
        <w:rPr>
          <w:color w:val="auto"/>
        </w:rPr>
        <w:t xml:space="preserve"> 2, w zakresie, o którym mowa w art. 20 ust. 2 </w:t>
      </w:r>
      <w:proofErr w:type="spellStart"/>
      <w:r w:rsidRPr="006811C9">
        <w:rPr>
          <w:color w:val="auto"/>
        </w:rPr>
        <w:t>pkt</w:t>
      </w:r>
      <w:proofErr w:type="spellEnd"/>
      <w:r w:rsidRPr="006811C9">
        <w:rPr>
          <w:color w:val="auto"/>
        </w:rPr>
        <w:t xml:space="preserve"> 1 lit. b, Prezes URE, w terminie 30 dni od dnia zakończenia kontroli, wydaje postanowienie o odmowie wydania świadectwa efektywności energetycznej, na które przysługuje zażalenie. </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pStyle w:val="h1chapter"/>
        <w:rPr>
          <w:b w:val="0"/>
          <w:bCs w:val="0"/>
          <w:color w:val="auto"/>
        </w:rPr>
      </w:pPr>
      <w:r w:rsidRPr="006811C9">
        <w:rPr>
          <w:color w:val="auto"/>
        </w:rPr>
        <w:t xml:space="preserve">Rozdział 5. Zasady przeprowadzania audytu energetycznego przedsiębiorstwa. </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36 [Obowiązek przeprowadzenia audytu energetycznego]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Przedsiębiorca w rozumieniu ustawy z dnia 2 lipca 2004 r. o swobodzie działalności gospodarczej (</w:t>
      </w:r>
      <w:proofErr w:type="spellStart"/>
      <w:r w:rsidRPr="006811C9">
        <w:rPr>
          <w:color w:val="auto"/>
        </w:rPr>
        <w:t>Dz.U</w:t>
      </w:r>
      <w:proofErr w:type="spellEnd"/>
      <w:r w:rsidRPr="006811C9">
        <w:rPr>
          <w:color w:val="auto"/>
        </w:rPr>
        <w:t xml:space="preserve">. z 2015 r. poz. 584, z </w:t>
      </w:r>
      <w:proofErr w:type="spellStart"/>
      <w:r w:rsidRPr="006811C9">
        <w:rPr>
          <w:color w:val="auto"/>
        </w:rPr>
        <w:t>późn</w:t>
      </w:r>
      <w:proofErr w:type="spellEnd"/>
      <w:r w:rsidRPr="006811C9">
        <w:rPr>
          <w:color w:val="auto"/>
        </w:rPr>
        <w:t>. zm.</w:t>
      </w:r>
      <w:r w:rsidRPr="006811C9">
        <w:rPr>
          <w:color w:val="auto"/>
          <w:vertAlign w:val="superscript"/>
        </w:rPr>
        <w:t>7)</w:t>
      </w:r>
      <w:r w:rsidRPr="006811C9">
        <w:rPr>
          <w:color w:val="auto"/>
          <w:vertAlign w:val="superscript"/>
        </w:rPr>
        <w:footnoteReference w:customMarkFollows="1" w:id="7"/>
        <w:t xml:space="preserve"> </w:t>
      </w:r>
      <w:r w:rsidRPr="006811C9">
        <w:rPr>
          <w:color w:val="auto"/>
        </w:rPr>
        <w:t>), z wyjątkiem mikroprzedsiębiorcy, małego lub średniego przedsiębiorcy w rozumieniu art. 104-106 tej ustawy, przeprowadza co 4 lata audyt energetyczny przedsiębiorstwa lub zleca jego przeprowadzenie.</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Przepisu ust. 1 nie stosuje się do przedsiębiorcy posiadającego:</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system zarządzania energią określony w Polskiej Normie dotyczącej systemów zarządzania energią, wymagań i zaleceń użytkowania lub</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system zarządzania środowiskowego, o którym mowa w art. 2 </w:t>
      </w:r>
      <w:proofErr w:type="spellStart"/>
      <w:r w:rsidRPr="006811C9">
        <w:rPr>
          <w:color w:val="auto"/>
        </w:rPr>
        <w:t>pkt</w:t>
      </w:r>
      <w:proofErr w:type="spellEnd"/>
      <w:r w:rsidRPr="006811C9">
        <w:rPr>
          <w:color w:val="auto"/>
        </w:rPr>
        <w:t xml:space="preserve"> 13 rozporządzenia Parlamentu Europejskiego i Rady (WE) nr 1221/2009 z dnia 25 listopada 2009 r. w sprawie dobrowolnego udziału organizacji w systemie </w:t>
      </w:r>
      <w:proofErr w:type="spellStart"/>
      <w:r w:rsidRPr="006811C9">
        <w:rPr>
          <w:color w:val="auto"/>
        </w:rPr>
        <w:t>ekozarządzania</w:t>
      </w:r>
      <w:proofErr w:type="spellEnd"/>
      <w:r w:rsidRPr="006811C9">
        <w:rPr>
          <w:color w:val="auto"/>
        </w:rPr>
        <w:t xml:space="preserve"> i audytu we Wspólnocie (EMAS), uchylającego rozporządzenie (WE) nr 761/2001 oraz decyzje Komisji 2001/681/WE i 2006/193/WE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color w:val="auto"/>
        </w:rPr>
        <w:t>- jeżeli w ramach tych systemów przeprowadzono audyt energetyczny przedsiębiorstwa.</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3. Audyt energetyczny przedsiębiorstwa przeprowadza:</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podmiot niezależny od audytowanego przedsiębiorcy, posiadający wiedzę oraz doświadczenie zawodowe w przeprowadzaniu tego rodzaju audytu;</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ekspert audytowanego przedsiębiorcy, jeżeli nie jest on bezpośrednio zaangażowany w audytowaną działalność tego przedsiębiorcy.</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37 [Procedura przeprowadzenia audytu]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Audyt energetyczny przedsiębiorstwa jest procedurą mającą na celu przeprowadzenie szczegółowych i potwierdzonych obliczeń dotyczących proponowanych przedsięwzięć służących poprawie efektywności energetycznej oraz dostarczenie informacji o potencjalnych oszczędnościach energii.</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Audyt energetyczny przedsiębiorstwa:</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należy przeprowadzać na podstawie aktualnych, reprezentatywnych, mierzonych i możliwych do zidentyfikowania danych dotyczących zużycia energii oraz, w przypadku energii elektrycznej, zapotrzebowania na moc;</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zawiera szczegółowy przegląd zużycia energii w budynkach lub zespołach budynków, w instalacjach przemysłowych oraz w transporcie, odpowiadających łącznie za co najmniej 90% całkowitego zużycia energii przez to przedsiębiorstwo;</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powinien opierać się, o ile to możliwe, na analizie kosztowej cyklu życia budynku lub zespołu budynków oraz instalacji przemysłowych, a nie na okresie zwrotu nakładów, tak aby uwzględnić oszczędności energii w dłuższym okresie, wartości rezydualne inwestycji długoterminowych oraz stopy dyskonta.</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3. Przedsiębiorca przechowuje, do celów kontrolnych, dane dotyczące audytu energetycznego przedsiębiorstwa, przez 5 lat.</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38 [Zawiadomienie Prezesa URE o przeprowadzonym audycie]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Przedsiębiorca:</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o którym mowa w art. 36 ust. 1, zawiadamia Prezesa URE o przeprowadzonym audycie energetycznym przedsiębiorstwa,</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o którym mowa w art. 36 ust. 2, zawiadamia Prezesa URE o przeprowadzonym audycie energetycznym przedsiębiorstwa w ramach systemu, o którym mowa w art. 36 ust. 2</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color w:val="auto"/>
        </w:rPr>
        <w:t>- w terminie 30 dni od dnia jego przeprowadzenia; do zawiadomienia należy dołączyć informację o możliwych do uzyskania oszczędnościach energii wynikających z przeprowadzonego audytu energetycznego przedsiębiorstwa.</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Prezes URE przekazuje ministrowi właściwemu do spraw energii informacje o:</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liczbie przeprowadzonych audytów energetycznych przedsiębiorstwa,</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liczbie przedsiębiorców: </w:t>
      </w:r>
    </w:p>
    <w:p w:rsidR="007F0E70" w:rsidRPr="006811C9" w:rsidRDefault="007F0E70">
      <w:pPr>
        <w:pStyle w:val="divpkt"/>
        <w:rPr>
          <w:color w:val="auto"/>
        </w:rPr>
      </w:pPr>
      <w:r w:rsidRPr="006811C9">
        <w:rPr>
          <w:b/>
          <w:bCs/>
          <w:color w:val="auto"/>
        </w:rPr>
        <w:t xml:space="preserve"> a) </w:t>
      </w:r>
      <w:r w:rsidRPr="006811C9">
        <w:rPr>
          <w:color w:val="auto"/>
        </w:rPr>
        <w:t xml:space="preserve"> którzy przeprowadzili audyt energetyczny przedsiębiorstwa, </w:t>
      </w:r>
    </w:p>
    <w:p w:rsidR="007F0E70" w:rsidRPr="006811C9" w:rsidRDefault="007F0E70">
      <w:pPr>
        <w:pStyle w:val="divpkt"/>
        <w:rPr>
          <w:color w:val="auto"/>
        </w:rPr>
      </w:pPr>
      <w:r w:rsidRPr="006811C9">
        <w:rPr>
          <w:b/>
          <w:bCs/>
          <w:color w:val="auto"/>
        </w:rPr>
        <w:t xml:space="preserve"> b) </w:t>
      </w:r>
      <w:r w:rsidRPr="006811C9">
        <w:rPr>
          <w:color w:val="auto"/>
        </w:rPr>
        <w:t xml:space="preserve"> o których mowa w art. 36 ust. 2,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możliwych do uzyskania oszczędnościach energii, wynikających z przeprowadzonych audytów energetycznych przedsiębiorstwa</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color w:val="auto"/>
        </w:rPr>
        <w:t>- z zachowaniem przepisów o ochronie informacji niejawnych lub innych informacji prawnie chronionych, do dnia 31 stycznia roku następującego po roku, w którym przedsiębiorca, o którym mowa w art. 36 ust. 1, przesłał informację, o której mowa w ust. 1.</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pStyle w:val="h1chapter"/>
        <w:rPr>
          <w:b w:val="0"/>
          <w:bCs w:val="0"/>
          <w:color w:val="auto"/>
        </w:rPr>
      </w:pPr>
      <w:r w:rsidRPr="006811C9">
        <w:rPr>
          <w:color w:val="auto"/>
        </w:rPr>
        <w:t xml:space="preserve">Rozdział 6. Kary pieniężne. </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39 [Przesłanki wymierzenia kary pieniężnej]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Karze pieniężnej podlega ten, kto:</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nie dopełnia obowiązku, o którym mowa w art. 10 ust.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nie uiszcza opłaty zastępczej w przypadku, o którym mowa w art. 11;</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nie przedkłada towarowemu domowi maklerskiemu lub domowi maklerskiemu deklaracji, o której mowa w art. 13 ust. 1, lub przedkłada ją niezgodną ze stanem faktycznym;</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4) </w:t>
      </w:r>
      <w:r w:rsidRPr="006811C9">
        <w:rPr>
          <w:color w:val="auto"/>
        </w:rPr>
        <w:t xml:space="preserve"> nie przedstawia, w wyznaczonym terminie, dokumentów lub informacji, o których mowa w art. 17 ust. 1, albo przedstawiając je, udziela nieprawdziwych lub wprowadzających w błąd informacji;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5) </w:t>
      </w:r>
      <w:r w:rsidRPr="006811C9">
        <w:rPr>
          <w:color w:val="auto"/>
        </w:rPr>
        <w:t xml:space="preserve"> zawiadamiając Prezesa URE o zakończeniu przedsięwzięcia lub przedsięwzięć tego samego rodzaju, udziela nieprawdziwych lub wprowadzających w błąd informacji;</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6) </w:t>
      </w:r>
      <w:r w:rsidRPr="006811C9">
        <w:rPr>
          <w:color w:val="auto"/>
        </w:rPr>
        <w:t xml:space="preserve"> nie dopełnia obowiązku, o którym mowa w art. 28 ust.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7) </w:t>
      </w:r>
      <w:r w:rsidRPr="006811C9">
        <w:rPr>
          <w:color w:val="auto"/>
        </w:rPr>
        <w:t xml:space="preserve"> nie przeprowadza audytu energetycznego przedsiębiorstwa.</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Karę pieniężną, o której mowa w ust. 1, wymierza Prezes URE, w drodze decyzji.</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40 [Wysokość kar]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Wysokość kary pieniężnej wymierzonej w przypadkach, o których mowa w art. 39 ust. 1:</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w:t>
      </w:r>
      <w:proofErr w:type="spellStart"/>
      <w:r w:rsidRPr="006811C9">
        <w:rPr>
          <w:color w:val="auto"/>
        </w:rPr>
        <w:t>pkt</w:t>
      </w:r>
      <w:proofErr w:type="spellEnd"/>
      <w:r w:rsidRPr="006811C9">
        <w:rPr>
          <w:color w:val="auto"/>
        </w:rPr>
        <w:t xml:space="preserve"> 1-5, nie może być wyższa niż 10% przychodu ukaranego przedsiębiorstwa energetycznego lub odbiorcy końcowego, lub towarowego domu maklerskiego, lub domu maklerskiego, o których mowa w art. 10 ust. 2, osiągniętego w poprzednim roku podatkowym;</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w:t>
      </w:r>
      <w:proofErr w:type="spellStart"/>
      <w:r w:rsidRPr="006811C9">
        <w:rPr>
          <w:color w:val="auto"/>
        </w:rPr>
        <w:t>pkt</w:t>
      </w:r>
      <w:proofErr w:type="spellEnd"/>
      <w:r w:rsidRPr="006811C9">
        <w:rPr>
          <w:color w:val="auto"/>
        </w:rPr>
        <w:t xml:space="preserve"> 6, nie może być wyższa niż 3 000 </w:t>
      </w:r>
      <w:proofErr w:type="spellStart"/>
      <w:r w:rsidRPr="006811C9">
        <w:rPr>
          <w:color w:val="auto"/>
        </w:rPr>
        <w:t>000</w:t>
      </w:r>
      <w:proofErr w:type="spellEnd"/>
      <w:r w:rsidRPr="006811C9">
        <w:rPr>
          <w:color w:val="auto"/>
        </w:rPr>
        <w:t xml:space="preserve"> zł;</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w:t>
      </w:r>
      <w:proofErr w:type="spellStart"/>
      <w:r w:rsidRPr="006811C9">
        <w:rPr>
          <w:color w:val="auto"/>
        </w:rPr>
        <w:t>pkt</w:t>
      </w:r>
      <w:proofErr w:type="spellEnd"/>
      <w:r w:rsidRPr="006811C9">
        <w:rPr>
          <w:color w:val="auto"/>
        </w:rPr>
        <w:t xml:space="preserve"> 7, nie może być wyższa niż 5% przychodu ukaranego przedsiębiorcy, osiągniętego w poprzednim roku podatkowym.</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Ustalając wysokość kar pieniężnych, o których mowa w art. 39 ust. 1, Prezes URE uwzględnia zakres naruszeń, powtarzalność naruszeń oraz możliwości finansowe ukaranego podmiotu.</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41 [Odstąpienie od wymierzenia kary pieniężnej] </w:t>
      </w:r>
      <w:r w:rsidRPr="006811C9">
        <w:rPr>
          <w:color w:val="auto"/>
        </w:rPr>
        <w:t>Prezes URE może odstąpić od wymierzenia kary pieniężnej, o której mowa w art. 39 ust. 1, jeżeli zakres naruszeń jest znikomy, a podmiot zaprzestał naruszania prawa lub zrealizował obowiązek, zanim Prezes URE powziął o tym wiadomość.</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42 [Termin na wniesienie opłaty] </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1. Karę pieniężną, o której mowa w art. 39 ust. 1, uiszcza się w terminie 14 dni od dnia, w którym decyzja Prezesa URE o wymierzeniu kary pieniężnej stała się prawomocna.</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2. Wpływy z tytułu kar pieniężnych stanowią dochód budżetu państwa i są wnoszone na rachunek właściwego urzędu skarbowego.</w:t>
      </w:r>
    </w:p>
    <w:p w:rsidR="007F0E70" w:rsidRPr="006811C9" w:rsidRDefault="007F0E70">
      <w:pPr>
        <w:rPr>
          <w:rFonts w:ascii="Times New Roman" w:hAnsi="Times New Roman" w:cs="Times New Roman"/>
          <w:color w:val="auto"/>
          <w:sz w:val="24"/>
          <w:szCs w:val="24"/>
        </w:rPr>
      </w:pPr>
    </w:p>
    <w:p w:rsidR="007F0E70" w:rsidRPr="006811C9" w:rsidRDefault="007F0E70">
      <w:pPr>
        <w:pStyle w:val="divparagraph"/>
        <w:rPr>
          <w:color w:val="auto"/>
        </w:rPr>
      </w:pPr>
      <w:r w:rsidRPr="006811C9">
        <w:rPr>
          <w:color w:val="auto"/>
        </w:rPr>
        <w:t>3. Do kar pieniężnych stosuje się odpowiednio przepisy działu III ustawy z dnia 29 sierpnia 1997 r. - Ordynacja podatkowa (</w:t>
      </w:r>
      <w:proofErr w:type="spellStart"/>
      <w:r w:rsidRPr="006811C9">
        <w:rPr>
          <w:color w:val="auto"/>
        </w:rPr>
        <w:t>Dz.U</w:t>
      </w:r>
      <w:proofErr w:type="spellEnd"/>
      <w:r w:rsidRPr="006811C9">
        <w:rPr>
          <w:color w:val="auto"/>
        </w:rPr>
        <w:t xml:space="preserve">. z 2015 r. poz. 613, z </w:t>
      </w:r>
      <w:proofErr w:type="spellStart"/>
      <w:r w:rsidRPr="006811C9">
        <w:rPr>
          <w:color w:val="auto"/>
        </w:rPr>
        <w:t>późn</w:t>
      </w:r>
      <w:proofErr w:type="spellEnd"/>
      <w:r w:rsidRPr="006811C9">
        <w:rPr>
          <w:color w:val="auto"/>
        </w:rPr>
        <w:t>. zm.</w:t>
      </w:r>
      <w:r w:rsidRPr="006811C9">
        <w:rPr>
          <w:color w:val="auto"/>
          <w:vertAlign w:val="superscript"/>
        </w:rPr>
        <w:t>8)</w:t>
      </w:r>
      <w:r w:rsidRPr="006811C9">
        <w:rPr>
          <w:color w:val="auto"/>
          <w:vertAlign w:val="superscript"/>
        </w:rPr>
        <w:footnoteReference w:customMarkFollows="1" w:id="8"/>
        <w:t xml:space="preserve"> </w:t>
      </w:r>
      <w:r w:rsidRPr="006811C9">
        <w:rPr>
          <w:color w:val="auto"/>
        </w:rPr>
        <w:t>). Kara pieniężna podlega ściągnięciu w trybie przepisów o postępowaniu egzekucyjnym w administracji.</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pStyle w:val="h1chapter"/>
        <w:rPr>
          <w:b w:val="0"/>
          <w:bCs w:val="0"/>
          <w:color w:val="auto"/>
        </w:rPr>
      </w:pPr>
      <w:r w:rsidRPr="006811C9">
        <w:rPr>
          <w:color w:val="auto"/>
        </w:rPr>
        <w:t xml:space="preserve">Rozdział 7. Zmiany w przepisach obowiązujących. </w:t>
      </w:r>
    </w:p>
    <w:p w:rsidR="007F0E70" w:rsidRPr="006811C9" w:rsidRDefault="007F0E70">
      <w:pPr>
        <w:rPr>
          <w:rFonts w:ascii="Times New Roman" w:hAnsi="Times New Roman" w:cs="Times New Roman"/>
          <w:color w:val="auto"/>
          <w:sz w:val="24"/>
          <w:szCs w:val="24"/>
        </w:rPr>
      </w:pP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43 </w:t>
      </w:r>
      <w:r w:rsidRPr="006811C9">
        <w:rPr>
          <w:color w:val="auto"/>
        </w:rPr>
        <w:t>W ustawie z dnia 10 kwietnia 1997 r. - Prawo energetyczne (</w:t>
      </w:r>
      <w:proofErr w:type="spellStart"/>
      <w:r w:rsidRPr="006811C9">
        <w:rPr>
          <w:color w:val="auto"/>
        </w:rPr>
        <w:t>Dz.U</w:t>
      </w:r>
      <w:proofErr w:type="spellEnd"/>
      <w:r w:rsidRPr="006811C9">
        <w:rPr>
          <w:color w:val="auto"/>
        </w:rPr>
        <w:t xml:space="preserve">. z 2012 r. poz. 1059, z </w:t>
      </w:r>
      <w:proofErr w:type="spellStart"/>
      <w:r w:rsidRPr="006811C9">
        <w:rPr>
          <w:color w:val="auto"/>
        </w:rPr>
        <w:t>późn</w:t>
      </w:r>
      <w:proofErr w:type="spellEnd"/>
      <w:r w:rsidRPr="006811C9">
        <w:rPr>
          <w:color w:val="auto"/>
        </w:rPr>
        <w:t>. zm.</w:t>
      </w:r>
      <w:r w:rsidRPr="006811C9">
        <w:rPr>
          <w:color w:val="auto"/>
          <w:vertAlign w:val="superscript"/>
        </w:rPr>
        <w:t>9)</w:t>
      </w:r>
      <w:r w:rsidRPr="006811C9">
        <w:rPr>
          <w:color w:val="auto"/>
          <w:vertAlign w:val="superscript"/>
        </w:rPr>
        <w:footnoteReference w:customMarkFollows="1" w:id="9"/>
        <w:t xml:space="preserve"> </w:t>
      </w:r>
      <w:r w:rsidRPr="006811C9">
        <w:rPr>
          <w:color w:val="auto"/>
        </w:rPr>
        <w:t>) wprowadza się następujące zmiany:</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w art. 5 ust. 6c otrzymuje brzmienie: </w:t>
      </w:r>
    </w:p>
    <w:p w:rsidR="007F0E70" w:rsidRPr="006811C9" w:rsidRDefault="007F0E70">
      <w:pPr>
        <w:pStyle w:val="divquotblock"/>
        <w:rPr>
          <w:color w:val="auto"/>
        </w:rPr>
      </w:pPr>
      <w:r w:rsidRPr="006811C9">
        <w:rPr>
          <w:color w:val="auto"/>
        </w:rPr>
        <w:t xml:space="preserve"> 6c. Sprzedawca energii elektrycznej informuje swojego odbiorcę o ilości energii elektrycznej zużytej przez tego odbiorcę w poprzednim roku oraz o miejscu, w którym są dostępne informacje o przeciętnym zużyciu energii elektrycznej dla danej grupy przyłączeniowej odbiorców, środkach poprawy efektywności energetycznej w rozumieniu ustawy z dnia 20 maja 2016 r. o efektywności energetycznej (</w:t>
      </w:r>
      <w:proofErr w:type="spellStart"/>
      <w:r w:rsidRPr="006811C9">
        <w:rPr>
          <w:color w:val="auto"/>
        </w:rPr>
        <w:t>Dz.U</w:t>
      </w:r>
      <w:proofErr w:type="spellEnd"/>
      <w:r w:rsidRPr="006811C9">
        <w:rPr>
          <w:color w:val="auto"/>
        </w:rPr>
        <w:t xml:space="preserve">. poz. 831) i efektywnych energetycznie urządzeniach technicznych.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w art. 7b: </w:t>
      </w:r>
    </w:p>
    <w:p w:rsidR="007F0E70" w:rsidRPr="006811C9" w:rsidRDefault="007F0E70">
      <w:pPr>
        <w:pStyle w:val="divpkt"/>
        <w:rPr>
          <w:color w:val="auto"/>
        </w:rPr>
      </w:pPr>
      <w:r w:rsidRPr="006811C9">
        <w:rPr>
          <w:b/>
          <w:bCs/>
          <w:color w:val="auto"/>
        </w:rPr>
        <w:t xml:space="preserve"> a) </w:t>
      </w:r>
      <w:r w:rsidRPr="006811C9">
        <w:rPr>
          <w:color w:val="auto"/>
        </w:rPr>
        <w:t xml:space="preserve"> w ust. 1 wprowadzenie do wyliczenia otrzymuje brzmienie: ,, Podmiot posiadający tytuł prawny do korzystania z obiektu, który nie jest przyłączony do sieci ciepłowniczej lub wyposażony w indywidualne źródło ciepła oraz w którym przewidywana szczytowa moc cieplna instalacji i urządzeń do ogrzewania tego obiektu wynosi nie mniej niż 50 kW, zlokalizowanego na terenie, na którym istnieją techniczne warunki dostarczania ciepła z efektywnego energetycznie systemu ciepłowniczego lub chłodniczego, zapewnia efektywne energetycznie wykorzystanie lokalnych zasobów paliw i energii przez: " </w:t>
      </w:r>
    </w:p>
    <w:p w:rsidR="007F0E70" w:rsidRPr="006811C9" w:rsidRDefault="007F0E70">
      <w:pPr>
        <w:pStyle w:val="divpkt"/>
        <w:rPr>
          <w:color w:val="auto"/>
        </w:rPr>
      </w:pPr>
      <w:r w:rsidRPr="006811C9">
        <w:rPr>
          <w:b/>
          <w:bCs/>
          <w:color w:val="auto"/>
        </w:rPr>
        <w:t xml:space="preserve"> b) </w:t>
      </w:r>
      <w:r w:rsidRPr="006811C9">
        <w:rPr>
          <w:color w:val="auto"/>
        </w:rPr>
        <w:t xml:space="preserve"> ust. 3 otrzymuje brzmienie: </w:t>
      </w:r>
    </w:p>
    <w:p w:rsidR="007F0E70" w:rsidRPr="006811C9" w:rsidRDefault="007F0E70">
      <w:pPr>
        <w:pStyle w:val="divquotblock"/>
        <w:rPr>
          <w:color w:val="auto"/>
        </w:rPr>
      </w:pPr>
      <w:r w:rsidRPr="006811C9">
        <w:rPr>
          <w:color w:val="auto"/>
        </w:rPr>
        <w:t xml:space="preserve"> 3. Efektywność energetyczną dostarczania ciepła, o której mowa w ust. 1, określa się na podstawie audytu, o którym mowa w art. 25 ust. 3 ustawy z dnia 20 maja 2016 r. o efektywności energetycznej. </w:t>
      </w:r>
    </w:p>
    <w:p w:rsidR="007F0E70" w:rsidRPr="006811C9" w:rsidRDefault="007F0E70">
      <w:pPr>
        <w:pStyle w:val="divpkt"/>
        <w:rPr>
          <w:color w:val="auto"/>
        </w:rPr>
      </w:pPr>
      <w:r w:rsidRPr="006811C9">
        <w:rPr>
          <w:b/>
          <w:bCs/>
          <w:color w:val="auto"/>
        </w:rPr>
        <w:t xml:space="preserve"> c) </w:t>
      </w:r>
      <w:r w:rsidRPr="006811C9">
        <w:rPr>
          <w:color w:val="auto"/>
        </w:rPr>
        <w:t xml:space="preserve"> dodaje się ust. 4 w brzmieniu: </w:t>
      </w:r>
    </w:p>
    <w:p w:rsidR="007F0E70" w:rsidRPr="006811C9" w:rsidRDefault="007F0E70">
      <w:pPr>
        <w:pStyle w:val="divquotblock"/>
        <w:rPr>
          <w:color w:val="auto"/>
        </w:rPr>
      </w:pPr>
      <w:r w:rsidRPr="006811C9">
        <w:rPr>
          <w:color w:val="auto"/>
        </w:rPr>
        <w:t xml:space="preserve"> 4. Przez efektywny energetycznie system ciepłowniczy lub chłodniczy rozumie się system ciepłowniczy lub chłodniczy, w którym do wytwarzania ciepła lub chłodu wykorzystuje się co najmniej w: </w:t>
      </w:r>
    </w:p>
    <w:p w:rsidR="007F0E70" w:rsidRPr="006811C9" w:rsidRDefault="007F0E70">
      <w:pPr>
        <w:pStyle w:val="divpkt"/>
        <w:rPr>
          <w:color w:val="auto"/>
        </w:rPr>
      </w:pPr>
      <w:r w:rsidRPr="006811C9">
        <w:rPr>
          <w:b/>
          <w:bCs/>
          <w:color w:val="auto"/>
        </w:rPr>
        <w:t xml:space="preserve">1) </w:t>
      </w:r>
      <w:r w:rsidRPr="006811C9">
        <w:rPr>
          <w:color w:val="auto"/>
        </w:rPr>
        <w:t xml:space="preserve"> 50% energię z odnawialnych źródeł energii lub </w:t>
      </w:r>
    </w:p>
    <w:p w:rsidR="007F0E70" w:rsidRPr="006811C9" w:rsidRDefault="007F0E70">
      <w:pPr>
        <w:pStyle w:val="divpkt"/>
        <w:rPr>
          <w:color w:val="auto"/>
        </w:rPr>
      </w:pPr>
      <w:r w:rsidRPr="006811C9">
        <w:rPr>
          <w:b/>
          <w:bCs/>
          <w:color w:val="auto"/>
        </w:rPr>
        <w:t xml:space="preserve">2) </w:t>
      </w:r>
      <w:r w:rsidRPr="006811C9">
        <w:rPr>
          <w:color w:val="auto"/>
        </w:rPr>
        <w:t xml:space="preserve"> 50% ciepło odpadowe, lub </w:t>
      </w:r>
    </w:p>
    <w:p w:rsidR="007F0E70" w:rsidRPr="006811C9" w:rsidRDefault="007F0E70">
      <w:pPr>
        <w:pStyle w:val="divpkt"/>
        <w:rPr>
          <w:color w:val="auto"/>
        </w:rPr>
      </w:pPr>
      <w:r w:rsidRPr="006811C9">
        <w:rPr>
          <w:b/>
          <w:bCs/>
          <w:color w:val="auto"/>
        </w:rPr>
        <w:t xml:space="preserve">3) </w:t>
      </w:r>
      <w:r w:rsidRPr="006811C9">
        <w:rPr>
          <w:color w:val="auto"/>
        </w:rPr>
        <w:t xml:space="preserve"> 75% ciepło pochodzące z </w:t>
      </w:r>
      <w:proofErr w:type="spellStart"/>
      <w:r w:rsidRPr="006811C9">
        <w:rPr>
          <w:color w:val="auto"/>
        </w:rPr>
        <w:t>kogeneracji</w:t>
      </w:r>
      <w:proofErr w:type="spellEnd"/>
      <w:r w:rsidRPr="006811C9">
        <w:rPr>
          <w:color w:val="auto"/>
        </w:rPr>
        <w:t xml:space="preserve">, lub </w:t>
      </w:r>
    </w:p>
    <w:p w:rsidR="007F0E70" w:rsidRPr="006811C9" w:rsidRDefault="007F0E70">
      <w:pPr>
        <w:pStyle w:val="divpkt"/>
        <w:rPr>
          <w:color w:val="auto"/>
        </w:rPr>
      </w:pPr>
      <w:r w:rsidRPr="006811C9">
        <w:rPr>
          <w:b/>
          <w:bCs/>
          <w:color w:val="auto"/>
        </w:rPr>
        <w:t xml:space="preserve">4) </w:t>
      </w:r>
      <w:r w:rsidRPr="006811C9">
        <w:rPr>
          <w:color w:val="auto"/>
        </w:rPr>
        <w:t xml:space="preserve"> 50% połączenie energii i ciepła, o których mowa w </w:t>
      </w:r>
      <w:proofErr w:type="spellStart"/>
      <w:r w:rsidRPr="006811C9">
        <w:rPr>
          <w:color w:val="auto"/>
        </w:rPr>
        <w:t>pkt</w:t>
      </w:r>
      <w:proofErr w:type="spellEnd"/>
      <w:r w:rsidRPr="006811C9">
        <w:rPr>
          <w:color w:val="auto"/>
        </w:rPr>
        <w:t xml:space="preserve"> 1-3.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3) </w:t>
      </w:r>
      <w:r w:rsidRPr="006811C9">
        <w:rPr>
          <w:color w:val="auto"/>
        </w:rPr>
        <w:t xml:space="preserve"> w art. 9a w ust. 1 wprowadzenie do wyliczenia otrzymuje brzmienie: ,, Odbiorca przemysłowy, przedsiębiorstwo energetyczne, odbiorca końcowy oraz towarowy dom maklerski lub dom maklerski, o których mowa w ust. 2, w zakresie określonym w ust. 11, są obowiązani: "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4) </w:t>
      </w:r>
      <w:r w:rsidRPr="006811C9">
        <w:rPr>
          <w:color w:val="auto"/>
        </w:rPr>
        <w:t xml:space="preserve"> uchyla się art. 9n;</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5) </w:t>
      </w:r>
      <w:r w:rsidRPr="006811C9">
        <w:rPr>
          <w:color w:val="auto"/>
        </w:rPr>
        <w:t xml:space="preserve"> po art. 9x dodaje się art. 9y-9zb w brzmieniu: </w:t>
      </w:r>
    </w:p>
    <w:p w:rsidR="007F0E70" w:rsidRPr="006811C9" w:rsidRDefault="007F0E70">
      <w:pPr>
        <w:pStyle w:val="divquotblock"/>
        <w:rPr>
          <w:color w:val="auto"/>
        </w:rPr>
      </w:pPr>
      <w:r w:rsidRPr="006811C9">
        <w:rPr>
          <w:color w:val="auto"/>
        </w:rPr>
        <w:t xml:space="preserve">,, Art. 9y. </w:t>
      </w:r>
    </w:p>
    <w:p w:rsidR="007F0E70" w:rsidRPr="006811C9" w:rsidRDefault="007F0E70">
      <w:pPr>
        <w:pStyle w:val="divquotblock"/>
        <w:rPr>
          <w:color w:val="auto"/>
        </w:rPr>
      </w:pPr>
      <w:r w:rsidRPr="006811C9">
        <w:rPr>
          <w:color w:val="auto"/>
        </w:rPr>
        <w:t xml:space="preserve"> 1. Gwarancja pochodzenia energii elektrycznej wytwarzanej w wysokosprawnej </w:t>
      </w:r>
      <w:proofErr w:type="spellStart"/>
      <w:r w:rsidRPr="006811C9">
        <w:rPr>
          <w:color w:val="auto"/>
        </w:rPr>
        <w:t>kogeneracji</w:t>
      </w:r>
      <w:proofErr w:type="spellEnd"/>
      <w:r w:rsidRPr="006811C9">
        <w:rPr>
          <w:color w:val="auto"/>
        </w:rPr>
        <w:t xml:space="preserve">, zwana dalej „gwarancją pochodzenia”, jest dokumentem poświadczającym, że określona w tym dokumencie ilość energii elektrycznej wprowadzonej do sieci dystrybucyjnej lub sieci przesyłowej została wytworzona w wysokosprawnej </w:t>
      </w:r>
      <w:proofErr w:type="spellStart"/>
      <w:r w:rsidRPr="006811C9">
        <w:rPr>
          <w:color w:val="auto"/>
        </w:rPr>
        <w:t>kogeneracji</w:t>
      </w:r>
      <w:proofErr w:type="spellEnd"/>
      <w:r w:rsidRPr="006811C9">
        <w:rPr>
          <w:color w:val="auto"/>
        </w:rPr>
        <w:t xml:space="preserve">. </w:t>
      </w:r>
    </w:p>
    <w:p w:rsidR="007F0E70" w:rsidRPr="006811C9" w:rsidRDefault="007F0E70">
      <w:pPr>
        <w:pStyle w:val="divquotblock"/>
        <w:rPr>
          <w:color w:val="auto"/>
        </w:rPr>
      </w:pPr>
      <w:r w:rsidRPr="006811C9">
        <w:rPr>
          <w:color w:val="auto"/>
        </w:rPr>
        <w:t xml:space="preserve"> 2. Gwarancję pochodzenia wydaje się na pisemny wniosek przedsiębiorstwa energetycznego zajmującego się wytwarzaniem energii elektrycznej w wysokosprawnej </w:t>
      </w:r>
      <w:proofErr w:type="spellStart"/>
      <w:r w:rsidRPr="006811C9">
        <w:rPr>
          <w:color w:val="auto"/>
        </w:rPr>
        <w:t>kogeneracji</w:t>
      </w:r>
      <w:proofErr w:type="spellEnd"/>
      <w:r w:rsidRPr="006811C9">
        <w:rPr>
          <w:color w:val="auto"/>
        </w:rPr>
        <w:t xml:space="preserve">, zwany dalej „wnioskiem o wydanie gwarancji pochodzenia”. </w:t>
      </w:r>
    </w:p>
    <w:p w:rsidR="007F0E70" w:rsidRPr="006811C9" w:rsidRDefault="007F0E70">
      <w:pPr>
        <w:pStyle w:val="divquotblock"/>
        <w:rPr>
          <w:color w:val="auto"/>
        </w:rPr>
      </w:pPr>
      <w:r w:rsidRPr="006811C9">
        <w:rPr>
          <w:color w:val="auto"/>
        </w:rPr>
        <w:t xml:space="preserve"> 3. Wniosek o wydanie gwarancji pochodzenia składa się do operatora systemu dystrybucyjnego elektroenergetycznego lub operatora systemu przesyłowego elektroenergetycznego, na którego obszarze działania została przyłączona jednostka </w:t>
      </w:r>
      <w:proofErr w:type="spellStart"/>
      <w:r w:rsidRPr="006811C9">
        <w:rPr>
          <w:color w:val="auto"/>
        </w:rPr>
        <w:t>kogeneracji</w:t>
      </w:r>
      <w:proofErr w:type="spellEnd"/>
      <w:r w:rsidRPr="006811C9">
        <w:rPr>
          <w:color w:val="auto"/>
        </w:rPr>
        <w:t xml:space="preserve">, w terminie 30 dni od dnia zakończenia wytworzenia danej ilości energii elektrycznej objętej wnioskiem. </w:t>
      </w:r>
    </w:p>
    <w:p w:rsidR="007F0E70" w:rsidRPr="006811C9" w:rsidRDefault="007F0E70">
      <w:pPr>
        <w:pStyle w:val="divquotblock"/>
        <w:rPr>
          <w:color w:val="auto"/>
        </w:rPr>
      </w:pPr>
      <w:r w:rsidRPr="006811C9">
        <w:rPr>
          <w:color w:val="auto"/>
        </w:rPr>
        <w:t xml:space="preserve"> 4. Wniosek o wydanie gwarancji pochodzenia zawiera: </w:t>
      </w:r>
    </w:p>
    <w:p w:rsidR="007F0E70" w:rsidRPr="006811C9" w:rsidRDefault="007F0E70">
      <w:pPr>
        <w:pStyle w:val="divpkt"/>
        <w:rPr>
          <w:color w:val="auto"/>
        </w:rPr>
      </w:pPr>
      <w:r w:rsidRPr="006811C9">
        <w:rPr>
          <w:b/>
          <w:bCs/>
          <w:color w:val="auto"/>
        </w:rPr>
        <w:t xml:space="preserve">1) </w:t>
      </w:r>
      <w:r w:rsidRPr="006811C9">
        <w:rPr>
          <w:color w:val="auto"/>
        </w:rPr>
        <w:t xml:space="preserve"> oznaczenie przedsiębiorstwa energetycznego zajmującego się wytwarzaniem energii elektrycznej w wysokosprawnej </w:t>
      </w:r>
      <w:proofErr w:type="spellStart"/>
      <w:r w:rsidRPr="006811C9">
        <w:rPr>
          <w:color w:val="auto"/>
        </w:rPr>
        <w:t>kogeneracji</w:t>
      </w:r>
      <w:proofErr w:type="spellEnd"/>
      <w:r w:rsidRPr="006811C9">
        <w:rPr>
          <w:color w:val="auto"/>
        </w:rPr>
        <w:t xml:space="preserve">; </w:t>
      </w:r>
    </w:p>
    <w:p w:rsidR="007F0E70" w:rsidRPr="006811C9" w:rsidRDefault="007F0E70">
      <w:pPr>
        <w:pStyle w:val="divpkt"/>
        <w:rPr>
          <w:color w:val="auto"/>
        </w:rPr>
      </w:pPr>
      <w:r w:rsidRPr="006811C9">
        <w:rPr>
          <w:b/>
          <w:bCs/>
          <w:color w:val="auto"/>
        </w:rPr>
        <w:t xml:space="preserve">2) </w:t>
      </w:r>
      <w:r w:rsidRPr="006811C9">
        <w:rPr>
          <w:color w:val="auto"/>
        </w:rPr>
        <w:t xml:space="preserve"> określenie lokalizacji, rodzaju, mocy zainstalowanej elektrycznej i cieplnej jednostki </w:t>
      </w:r>
      <w:proofErr w:type="spellStart"/>
      <w:r w:rsidRPr="006811C9">
        <w:rPr>
          <w:color w:val="auto"/>
        </w:rPr>
        <w:t>kogeneracji</w:t>
      </w:r>
      <w:proofErr w:type="spellEnd"/>
      <w:r w:rsidRPr="006811C9">
        <w:rPr>
          <w:color w:val="auto"/>
        </w:rPr>
        <w:t xml:space="preserve">, w której została wytworzona energia; </w:t>
      </w:r>
    </w:p>
    <w:p w:rsidR="007F0E70" w:rsidRPr="006811C9" w:rsidRDefault="007F0E70">
      <w:pPr>
        <w:pStyle w:val="divpkt"/>
        <w:rPr>
          <w:color w:val="auto"/>
        </w:rPr>
      </w:pPr>
      <w:r w:rsidRPr="006811C9">
        <w:rPr>
          <w:b/>
          <w:bCs/>
          <w:color w:val="auto"/>
        </w:rPr>
        <w:t xml:space="preserve">3) </w:t>
      </w:r>
      <w:r w:rsidRPr="006811C9">
        <w:rPr>
          <w:color w:val="auto"/>
        </w:rPr>
        <w:t xml:space="preserve"> dane dotyczące ilości wprowadzonej do sieci energii elektrycznej wytworzonej w wysokosprawnej </w:t>
      </w:r>
      <w:proofErr w:type="spellStart"/>
      <w:r w:rsidRPr="006811C9">
        <w:rPr>
          <w:color w:val="auto"/>
        </w:rPr>
        <w:t>kogeneracji</w:t>
      </w:r>
      <w:proofErr w:type="spellEnd"/>
      <w:r w:rsidRPr="006811C9">
        <w:rPr>
          <w:color w:val="auto"/>
        </w:rPr>
        <w:t xml:space="preserve"> w jednostce </w:t>
      </w:r>
      <w:proofErr w:type="spellStart"/>
      <w:r w:rsidRPr="006811C9">
        <w:rPr>
          <w:color w:val="auto"/>
        </w:rPr>
        <w:t>kogeneracji</w:t>
      </w:r>
      <w:proofErr w:type="spellEnd"/>
      <w:r w:rsidRPr="006811C9">
        <w:rPr>
          <w:color w:val="auto"/>
        </w:rPr>
        <w:t xml:space="preserve">; </w:t>
      </w:r>
    </w:p>
    <w:p w:rsidR="007F0E70" w:rsidRPr="006811C9" w:rsidRDefault="007F0E70">
      <w:pPr>
        <w:pStyle w:val="divpkt"/>
        <w:rPr>
          <w:color w:val="auto"/>
        </w:rPr>
      </w:pPr>
      <w:r w:rsidRPr="006811C9">
        <w:rPr>
          <w:b/>
          <w:bCs/>
          <w:color w:val="auto"/>
        </w:rPr>
        <w:t xml:space="preserve">4) </w:t>
      </w:r>
      <w:r w:rsidRPr="006811C9">
        <w:rPr>
          <w:color w:val="auto"/>
        </w:rPr>
        <w:t xml:space="preserve"> określenie: </w:t>
      </w:r>
    </w:p>
    <w:p w:rsidR="007F0E70" w:rsidRPr="006811C9" w:rsidRDefault="007F0E70">
      <w:pPr>
        <w:pStyle w:val="divpkt"/>
        <w:rPr>
          <w:color w:val="auto"/>
        </w:rPr>
      </w:pPr>
      <w:r w:rsidRPr="006811C9">
        <w:rPr>
          <w:b/>
          <w:bCs/>
          <w:color w:val="auto"/>
        </w:rPr>
        <w:t xml:space="preserve"> a) </w:t>
      </w:r>
      <w:r w:rsidRPr="006811C9">
        <w:rPr>
          <w:color w:val="auto"/>
        </w:rPr>
        <w:t xml:space="preserve"> okresu, obejmującego jeden lub więcej następujących po sobie miesięcy kalendarzowych danego roku kalendarzowego, w którym energia elektryczna została wytworzona w jednostce </w:t>
      </w:r>
      <w:proofErr w:type="spellStart"/>
      <w:r w:rsidRPr="006811C9">
        <w:rPr>
          <w:color w:val="auto"/>
        </w:rPr>
        <w:t>kogeneracji</w:t>
      </w:r>
      <w:proofErr w:type="spellEnd"/>
      <w:r w:rsidRPr="006811C9">
        <w:rPr>
          <w:color w:val="auto"/>
        </w:rPr>
        <w:t xml:space="preserve">, ze wskazaniem daty rozpoczęcia i zakończenia wytwarzania tej energii, </w:t>
      </w:r>
    </w:p>
    <w:p w:rsidR="007F0E70" w:rsidRPr="006811C9" w:rsidRDefault="007F0E70">
      <w:pPr>
        <w:pStyle w:val="divpkt"/>
        <w:rPr>
          <w:color w:val="auto"/>
        </w:rPr>
      </w:pPr>
      <w:r w:rsidRPr="006811C9">
        <w:rPr>
          <w:b/>
          <w:bCs/>
          <w:color w:val="auto"/>
        </w:rPr>
        <w:t xml:space="preserve"> b) </w:t>
      </w:r>
      <w:r w:rsidRPr="006811C9">
        <w:rPr>
          <w:color w:val="auto"/>
        </w:rPr>
        <w:t xml:space="preserve"> rodzaju i średniej wartości opałowej paliw, z których została wytworzona energia elektryczna i ciepło w jednostce </w:t>
      </w:r>
      <w:proofErr w:type="spellStart"/>
      <w:r w:rsidRPr="006811C9">
        <w:rPr>
          <w:color w:val="auto"/>
        </w:rPr>
        <w:t>kogeneracji</w:t>
      </w:r>
      <w:proofErr w:type="spellEnd"/>
      <w:r w:rsidRPr="006811C9">
        <w:rPr>
          <w:color w:val="auto"/>
        </w:rPr>
        <w:t xml:space="preserve">, oraz ilości tych paliw ustalone na podstawie pomiarów dokonanych za pomocą oznaczonych urządzeń pomiarowo-rozliczeniowych, </w:t>
      </w:r>
    </w:p>
    <w:p w:rsidR="007F0E70" w:rsidRPr="006811C9" w:rsidRDefault="007F0E70">
      <w:pPr>
        <w:pStyle w:val="divpkt"/>
        <w:rPr>
          <w:color w:val="auto"/>
        </w:rPr>
      </w:pPr>
      <w:r w:rsidRPr="006811C9">
        <w:rPr>
          <w:b/>
          <w:bCs/>
          <w:color w:val="auto"/>
        </w:rPr>
        <w:t xml:space="preserve"> c) </w:t>
      </w:r>
      <w:r w:rsidRPr="006811C9">
        <w:rPr>
          <w:color w:val="auto"/>
        </w:rPr>
        <w:t xml:space="preserve"> na podstawie pomiarów dokonanych za pomocą oznaczonych urządzeń pomiarowo-rozliczeniowych, ilości ciepła użytkowego w </w:t>
      </w:r>
      <w:proofErr w:type="spellStart"/>
      <w:r w:rsidRPr="006811C9">
        <w:rPr>
          <w:color w:val="auto"/>
        </w:rPr>
        <w:t>kogeneracji</w:t>
      </w:r>
      <w:proofErr w:type="spellEnd"/>
      <w:r w:rsidRPr="006811C9">
        <w:rPr>
          <w:color w:val="auto"/>
        </w:rPr>
        <w:t xml:space="preserve">, z podziałem na sposoby jego wykorzystania, oraz ilości energii elektrycznej wytworzonej w wysokosprawnej </w:t>
      </w:r>
      <w:proofErr w:type="spellStart"/>
      <w:r w:rsidRPr="006811C9">
        <w:rPr>
          <w:color w:val="auto"/>
        </w:rPr>
        <w:t>kogeneracji</w:t>
      </w:r>
      <w:proofErr w:type="spellEnd"/>
      <w:r w:rsidRPr="006811C9">
        <w:rPr>
          <w:color w:val="auto"/>
        </w:rPr>
        <w:t xml:space="preserve"> w danej jednostce </w:t>
      </w:r>
      <w:proofErr w:type="spellStart"/>
      <w:r w:rsidRPr="006811C9">
        <w:rPr>
          <w:color w:val="auto"/>
        </w:rPr>
        <w:t>kogeneracji</w:t>
      </w:r>
      <w:proofErr w:type="spellEnd"/>
      <w:r w:rsidRPr="006811C9">
        <w:rPr>
          <w:color w:val="auto"/>
        </w:rPr>
        <w:t xml:space="preserve">, </w:t>
      </w:r>
    </w:p>
    <w:p w:rsidR="007F0E70" w:rsidRPr="006811C9" w:rsidRDefault="007F0E70">
      <w:pPr>
        <w:pStyle w:val="divpkt"/>
        <w:rPr>
          <w:color w:val="auto"/>
        </w:rPr>
      </w:pPr>
      <w:r w:rsidRPr="006811C9">
        <w:rPr>
          <w:b/>
          <w:bCs/>
          <w:color w:val="auto"/>
        </w:rPr>
        <w:t xml:space="preserve"> d) </w:t>
      </w:r>
      <w:r w:rsidRPr="006811C9">
        <w:rPr>
          <w:color w:val="auto"/>
        </w:rPr>
        <w:t xml:space="preserve"> ilości energii pierwotnej, wyrażonej w procentach, która została zaoszczędzona, kwalifikującej do uznania energii elektrycznej za wytworzoną w wysokosprawnej </w:t>
      </w:r>
      <w:proofErr w:type="spellStart"/>
      <w:r w:rsidRPr="006811C9">
        <w:rPr>
          <w:color w:val="auto"/>
        </w:rPr>
        <w:t>kogeneracji</w:t>
      </w:r>
      <w:proofErr w:type="spellEnd"/>
      <w:r w:rsidRPr="006811C9">
        <w:rPr>
          <w:color w:val="auto"/>
        </w:rPr>
        <w:t xml:space="preserve">, obliczonej na podstawie referencyjnych wartości dla wytwarzania rozdzielonego; </w:t>
      </w:r>
    </w:p>
    <w:p w:rsidR="007F0E70" w:rsidRPr="006811C9" w:rsidRDefault="007F0E70">
      <w:pPr>
        <w:pStyle w:val="divpkt"/>
        <w:rPr>
          <w:color w:val="auto"/>
        </w:rPr>
      </w:pPr>
      <w:r w:rsidRPr="006811C9">
        <w:rPr>
          <w:b/>
          <w:bCs/>
          <w:color w:val="auto"/>
        </w:rPr>
        <w:t xml:space="preserve">5) </w:t>
      </w:r>
      <w:r w:rsidRPr="006811C9">
        <w:rPr>
          <w:color w:val="auto"/>
        </w:rPr>
        <w:t xml:space="preserve"> wskazanie, czy jednostka </w:t>
      </w:r>
      <w:proofErr w:type="spellStart"/>
      <w:r w:rsidRPr="006811C9">
        <w:rPr>
          <w:color w:val="auto"/>
        </w:rPr>
        <w:t>kogeneracji</w:t>
      </w:r>
      <w:proofErr w:type="spellEnd"/>
      <w:r w:rsidRPr="006811C9">
        <w:rPr>
          <w:color w:val="auto"/>
        </w:rPr>
        <w:t xml:space="preserve"> określona we wniosku korzystała z mechanizmów i instrumentów wspierających wytwarzanie energii elektrycznej w tej jednostce; </w:t>
      </w:r>
    </w:p>
    <w:p w:rsidR="007F0E70" w:rsidRPr="006811C9" w:rsidRDefault="007F0E70">
      <w:pPr>
        <w:pStyle w:val="divpkt"/>
        <w:rPr>
          <w:color w:val="auto"/>
        </w:rPr>
      </w:pPr>
      <w:r w:rsidRPr="006811C9">
        <w:rPr>
          <w:b/>
          <w:bCs/>
          <w:color w:val="auto"/>
        </w:rPr>
        <w:t xml:space="preserve">6) </w:t>
      </w:r>
      <w:r w:rsidRPr="006811C9">
        <w:rPr>
          <w:color w:val="auto"/>
        </w:rPr>
        <w:t xml:space="preserve"> oznaczenie daty oddania jednostki </w:t>
      </w:r>
      <w:proofErr w:type="spellStart"/>
      <w:r w:rsidRPr="006811C9">
        <w:rPr>
          <w:color w:val="auto"/>
        </w:rPr>
        <w:t>kogeneracji</w:t>
      </w:r>
      <w:proofErr w:type="spellEnd"/>
      <w:r w:rsidRPr="006811C9">
        <w:rPr>
          <w:color w:val="auto"/>
        </w:rPr>
        <w:t xml:space="preserve"> do eksploatacji. </w:t>
      </w:r>
    </w:p>
    <w:p w:rsidR="007F0E70" w:rsidRPr="006811C9" w:rsidRDefault="007F0E70">
      <w:pPr>
        <w:pStyle w:val="divquotblock"/>
        <w:rPr>
          <w:color w:val="auto"/>
        </w:rPr>
      </w:pPr>
      <w:r w:rsidRPr="006811C9">
        <w:rPr>
          <w:color w:val="auto"/>
        </w:rPr>
        <w:t xml:space="preserve"> 5. Do wydawania gwarancji pochodzenia oraz innych dokumentów potwierdzających wydanie gwarancji pochodzenia stosuje się odpowiednio przepisy ustawy z dnia 14 czerwca 1960 r. - Kodeks postępowania administracyjnego o wydawaniu zaświadczeń. </w:t>
      </w:r>
    </w:p>
    <w:p w:rsidR="007F0E70" w:rsidRPr="006811C9" w:rsidRDefault="007F0E70">
      <w:pPr>
        <w:pStyle w:val="divquotblock"/>
        <w:rPr>
          <w:color w:val="auto"/>
        </w:rPr>
      </w:pPr>
      <w:r w:rsidRPr="006811C9">
        <w:rPr>
          <w:color w:val="auto"/>
        </w:rPr>
        <w:t xml:space="preserve"> 6. Operator systemu dystrybucyjnego elektroenergetycznego lub operator systemu przesyłowego elektroenergetycznego dokonuje weryfikacji danych, o których mowa w ust. 4 </w:t>
      </w:r>
      <w:proofErr w:type="spellStart"/>
      <w:r w:rsidRPr="006811C9">
        <w:rPr>
          <w:color w:val="auto"/>
        </w:rPr>
        <w:t>pkt</w:t>
      </w:r>
      <w:proofErr w:type="spellEnd"/>
      <w:r w:rsidRPr="006811C9">
        <w:rPr>
          <w:color w:val="auto"/>
        </w:rPr>
        <w:t xml:space="preserve"> 1 i 2. </w:t>
      </w:r>
    </w:p>
    <w:p w:rsidR="007F0E70" w:rsidRPr="006811C9" w:rsidRDefault="007F0E70">
      <w:pPr>
        <w:pStyle w:val="divquotblock"/>
        <w:rPr>
          <w:color w:val="auto"/>
        </w:rPr>
      </w:pPr>
      <w:r w:rsidRPr="006811C9">
        <w:rPr>
          <w:color w:val="auto"/>
        </w:rPr>
        <w:t xml:space="preserve"> 7. Operator systemu dystrybucyjnego elektroenergetycznego lub operator systemu przesyłowego elektroenergetycznego, w terminie 30 dni od dnia otrzymania wniosku o wydanie gwarancji pochodzenia, przekazuje ten wniosek Prezesowi Urzędu Regulacji Energetyki, wraz z potwierdzeniem ilości wytworzonej energii elektrycznej w jednostce </w:t>
      </w:r>
      <w:proofErr w:type="spellStart"/>
      <w:r w:rsidRPr="006811C9">
        <w:rPr>
          <w:color w:val="auto"/>
        </w:rPr>
        <w:t>kogeneracji</w:t>
      </w:r>
      <w:proofErr w:type="spellEnd"/>
      <w:r w:rsidRPr="006811C9">
        <w:rPr>
          <w:color w:val="auto"/>
        </w:rPr>
        <w:t xml:space="preserve"> i wprowadzonej do sieci. </w:t>
      </w:r>
    </w:p>
    <w:p w:rsidR="007F0E70" w:rsidRPr="006811C9" w:rsidRDefault="007F0E70">
      <w:pPr>
        <w:pStyle w:val="divquotblock"/>
        <w:rPr>
          <w:color w:val="auto"/>
        </w:rPr>
      </w:pPr>
      <w:r w:rsidRPr="006811C9">
        <w:rPr>
          <w:color w:val="auto"/>
        </w:rPr>
        <w:t xml:space="preserve"> 8. Na potrzeby ustalenia rzeczywistej ilości energii elektrycznej i ciepła wytworzonych w wysokosprawnej </w:t>
      </w:r>
      <w:proofErr w:type="spellStart"/>
      <w:r w:rsidRPr="006811C9">
        <w:rPr>
          <w:color w:val="auto"/>
        </w:rPr>
        <w:t>kogeneracji</w:t>
      </w:r>
      <w:proofErr w:type="spellEnd"/>
      <w:r w:rsidRPr="006811C9">
        <w:rPr>
          <w:color w:val="auto"/>
        </w:rPr>
        <w:t xml:space="preserve"> oraz ilości zaoszczędzonej energii pierwotnej w celu wydawania gwarancji pochodzenia przyjmuje się sposób obliczania oraz wymagania dotyczące pomiarów określone w przepisach wydanych na podstawie art. 9a ust. 16. </w:t>
      </w:r>
    </w:p>
    <w:p w:rsidR="007F0E70" w:rsidRPr="006811C9" w:rsidRDefault="007F0E70">
      <w:pPr>
        <w:pStyle w:val="divquotblock"/>
        <w:rPr>
          <w:color w:val="auto"/>
        </w:rPr>
      </w:pPr>
      <w:r w:rsidRPr="006811C9">
        <w:rPr>
          <w:color w:val="auto"/>
        </w:rPr>
        <w:t xml:space="preserve"> Art. 9z. </w:t>
      </w:r>
    </w:p>
    <w:p w:rsidR="007F0E70" w:rsidRPr="006811C9" w:rsidRDefault="007F0E70">
      <w:pPr>
        <w:pStyle w:val="divquotblock"/>
        <w:rPr>
          <w:color w:val="auto"/>
        </w:rPr>
      </w:pPr>
      <w:r w:rsidRPr="006811C9">
        <w:rPr>
          <w:color w:val="auto"/>
        </w:rPr>
        <w:t xml:space="preserve"> 1. W przypadku gdy wniosek o wydanie gwarancji pochodzenia nie zawiera danych, o których mowa w art. 9y ust. 4, Prezes Urzędu Regulacji Energetyki niezwłocznie wzywa wnioskodawcę do uzupełnienia wniosku w terminie 7 dni od dnia doręczenia wezwania. Nieuzupełnienie wniosku w wyznaczonym terminie skutkuje pozostawieniem wniosku bez rozpoznania. </w:t>
      </w:r>
    </w:p>
    <w:p w:rsidR="007F0E70" w:rsidRPr="006811C9" w:rsidRDefault="007F0E70">
      <w:pPr>
        <w:pStyle w:val="divquotblock"/>
        <w:rPr>
          <w:color w:val="auto"/>
        </w:rPr>
      </w:pPr>
      <w:r w:rsidRPr="006811C9">
        <w:rPr>
          <w:color w:val="auto"/>
        </w:rPr>
        <w:t xml:space="preserve"> 2. Prezes Urzędu Regulacji Energetyki wydaje gwarancję pochodzenia w terminie 30 dni od dnia otrzymania sprawozdania, o którym mowa w art. 9l ust. 10, wraz z wnioskiem o wydanie odpowiedniej ilości gwarancji pochodzenia w stosunku do rzeczywistej ilości energii elektrycznej wytworzonej w wysokosprawnej </w:t>
      </w:r>
      <w:proofErr w:type="spellStart"/>
      <w:r w:rsidRPr="006811C9">
        <w:rPr>
          <w:color w:val="auto"/>
        </w:rPr>
        <w:t>kogeneracji</w:t>
      </w:r>
      <w:proofErr w:type="spellEnd"/>
      <w:r w:rsidRPr="006811C9">
        <w:rPr>
          <w:color w:val="auto"/>
        </w:rPr>
        <w:t xml:space="preserve"> przez daną jednostkę </w:t>
      </w:r>
      <w:proofErr w:type="spellStart"/>
      <w:r w:rsidRPr="006811C9">
        <w:rPr>
          <w:color w:val="auto"/>
        </w:rPr>
        <w:t>kogeneracji</w:t>
      </w:r>
      <w:proofErr w:type="spellEnd"/>
      <w:r w:rsidRPr="006811C9">
        <w:rPr>
          <w:color w:val="auto"/>
        </w:rPr>
        <w:t xml:space="preserve"> w poprzednim roku kalendarzowym i wykazanej w tym sprawozdaniu. </w:t>
      </w:r>
    </w:p>
    <w:p w:rsidR="007F0E70" w:rsidRPr="006811C9" w:rsidRDefault="007F0E70">
      <w:pPr>
        <w:pStyle w:val="divquotblock"/>
        <w:rPr>
          <w:color w:val="auto"/>
        </w:rPr>
      </w:pPr>
      <w:r w:rsidRPr="006811C9">
        <w:rPr>
          <w:color w:val="auto"/>
        </w:rPr>
        <w:t xml:space="preserve"> 3. Gwarancję pochodzenia oznacza się indywidualnym numerem. Zawiera ona dane, o których mowa w art. 9y ust. 4, datę jej wydania oraz oznaczenie państwa, w którym została wydana. </w:t>
      </w:r>
    </w:p>
    <w:p w:rsidR="007F0E70" w:rsidRPr="006811C9" w:rsidRDefault="007F0E70">
      <w:pPr>
        <w:pStyle w:val="divquotblock"/>
        <w:rPr>
          <w:color w:val="auto"/>
        </w:rPr>
      </w:pPr>
      <w:r w:rsidRPr="006811C9">
        <w:rPr>
          <w:color w:val="auto"/>
        </w:rPr>
        <w:t xml:space="preserve"> 4. Gwarancję pochodzenia wydaje się za wytworzoną energię elektryczną z dokładnością do 1 </w:t>
      </w:r>
      <w:proofErr w:type="spellStart"/>
      <w:r w:rsidRPr="006811C9">
        <w:rPr>
          <w:color w:val="auto"/>
        </w:rPr>
        <w:t>MWh</w:t>
      </w:r>
      <w:proofErr w:type="spellEnd"/>
      <w:r w:rsidRPr="006811C9">
        <w:rPr>
          <w:color w:val="auto"/>
        </w:rPr>
        <w:t xml:space="preserve">. </w:t>
      </w:r>
    </w:p>
    <w:p w:rsidR="007F0E70" w:rsidRPr="006811C9" w:rsidRDefault="007F0E70">
      <w:pPr>
        <w:pStyle w:val="divquotblock"/>
        <w:rPr>
          <w:color w:val="auto"/>
        </w:rPr>
      </w:pPr>
      <w:r w:rsidRPr="006811C9">
        <w:rPr>
          <w:color w:val="auto"/>
        </w:rPr>
        <w:t xml:space="preserve"> 5. Gwarancję pochodzenia wydaje się w postaci elektronicznej i przekazuje się bezpośrednio do rejestru gwarancji pochodzenia, o którym mowa w art. 9zb ust. 1. </w:t>
      </w:r>
    </w:p>
    <w:p w:rsidR="007F0E70" w:rsidRPr="006811C9" w:rsidRDefault="007F0E70">
      <w:pPr>
        <w:pStyle w:val="divquotblock"/>
        <w:rPr>
          <w:color w:val="auto"/>
        </w:rPr>
      </w:pPr>
      <w:r w:rsidRPr="006811C9">
        <w:rPr>
          <w:color w:val="auto"/>
        </w:rPr>
        <w:t xml:space="preserve"> Art. 9za. </w:t>
      </w:r>
    </w:p>
    <w:p w:rsidR="007F0E70" w:rsidRPr="006811C9" w:rsidRDefault="007F0E70">
      <w:pPr>
        <w:pStyle w:val="divquotblock"/>
        <w:rPr>
          <w:color w:val="auto"/>
        </w:rPr>
      </w:pPr>
      <w:r w:rsidRPr="006811C9">
        <w:rPr>
          <w:color w:val="auto"/>
        </w:rPr>
        <w:t xml:space="preserve"> 1. Prezes Urzędu Regulacji Energetyki, na pisemny wniosek podmiotu, uznaje gwarancję pochodzenia wydaną w innym państwie członkowskim Unii Europejskiej, Konfederacji Szwajcarskiej lub państwie członkowskim Europejskiego Porozumienia o Wolnym Handlu (EFTA) - stronie umowy o Europejskim Obszarze Gospodarczym. </w:t>
      </w:r>
    </w:p>
    <w:p w:rsidR="007F0E70" w:rsidRPr="006811C9" w:rsidRDefault="007F0E70">
      <w:pPr>
        <w:pStyle w:val="divquotblock"/>
        <w:rPr>
          <w:color w:val="auto"/>
        </w:rPr>
      </w:pPr>
      <w:r w:rsidRPr="006811C9">
        <w:rPr>
          <w:color w:val="auto"/>
        </w:rPr>
        <w:t xml:space="preserve"> 2. Prezes Urzędu Regulacji Energetyki odmawia uznania gwarancji pochodzenia, o której mowa w ust. 1, w przypadku gdy wystąpią uzasadnione wątpliwości co do jej autentyczności lub wiarygodności. </w:t>
      </w:r>
    </w:p>
    <w:p w:rsidR="007F0E70" w:rsidRPr="006811C9" w:rsidRDefault="007F0E70">
      <w:pPr>
        <w:pStyle w:val="divquotblock"/>
        <w:rPr>
          <w:color w:val="auto"/>
        </w:rPr>
      </w:pPr>
      <w:r w:rsidRPr="006811C9">
        <w:rPr>
          <w:color w:val="auto"/>
        </w:rPr>
        <w:t xml:space="preserve"> 3. O przyczynie odmowy uznania gwarancji pochodzenia, o której mowa w ust. 2, Prezes Urzędu Regulacji Energetyki niezwłocznie informuje Komisję Europejską, podając przyczynę odmowy. </w:t>
      </w:r>
    </w:p>
    <w:p w:rsidR="007F0E70" w:rsidRPr="006811C9" w:rsidRDefault="007F0E70">
      <w:pPr>
        <w:pStyle w:val="divquotblock"/>
        <w:rPr>
          <w:color w:val="auto"/>
        </w:rPr>
      </w:pPr>
      <w:r w:rsidRPr="006811C9">
        <w:rPr>
          <w:color w:val="auto"/>
        </w:rPr>
        <w:t xml:space="preserve"> 4. Gwarancja pochodzenia, o której mowa w ust. 1, jest ważna przez 12 miesięcy od dnia jej wydania. </w:t>
      </w:r>
    </w:p>
    <w:p w:rsidR="007F0E70" w:rsidRPr="006811C9" w:rsidRDefault="007F0E70">
      <w:pPr>
        <w:pStyle w:val="divquotblock"/>
        <w:rPr>
          <w:color w:val="auto"/>
        </w:rPr>
      </w:pPr>
      <w:r w:rsidRPr="006811C9">
        <w:rPr>
          <w:color w:val="auto"/>
        </w:rPr>
        <w:t xml:space="preserve"> Art. 9zb. </w:t>
      </w:r>
    </w:p>
    <w:p w:rsidR="007F0E70" w:rsidRPr="006811C9" w:rsidRDefault="007F0E70">
      <w:pPr>
        <w:pStyle w:val="divquotblock"/>
        <w:rPr>
          <w:color w:val="auto"/>
        </w:rPr>
      </w:pPr>
      <w:r w:rsidRPr="006811C9">
        <w:rPr>
          <w:color w:val="auto"/>
        </w:rPr>
        <w:t xml:space="preserve"> 1. Rejestr gwarancji pochodzenia prowadzi podmiot prowadzący: </w:t>
      </w:r>
    </w:p>
    <w:p w:rsidR="007F0E70" w:rsidRPr="006811C9" w:rsidRDefault="007F0E70">
      <w:pPr>
        <w:pStyle w:val="divpkt"/>
        <w:rPr>
          <w:color w:val="auto"/>
        </w:rPr>
      </w:pPr>
      <w:r w:rsidRPr="006811C9">
        <w:rPr>
          <w:b/>
          <w:bCs/>
          <w:color w:val="auto"/>
        </w:rPr>
        <w:t xml:space="preserve">1) </w:t>
      </w:r>
      <w:r w:rsidRPr="006811C9">
        <w:rPr>
          <w:color w:val="auto"/>
        </w:rPr>
        <w:t xml:space="preserve"> giełdę towarową w rozumieniu ustawy z dnia 26 października 2000 r. o giełdach towarowych lub </w:t>
      </w:r>
    </w:p>
    <w:p w:rsidR="007F0E70" w:rsidRPr="006811C9" w:rsidRDefault="007F0E70">
      <w:pPr>
        <w:pStyle w:val="divpkt"/>
        <w:rPr>
          <w:color w:val="auto"/>
        </w:rPr>
      </w:pPr>
      <w:r w:rsidRPr="006811C9">
        <w:rPr>
          <w:b/>
          <w:bCs/>
          <w:color w:val="auto"/>
        </w:rPr>
        <w:t xml:space="preserve">2) </w:t>
      </w:r>
      <w:r w:rsidRPr="006811C9">
        <w:rPr>
          <w:color w:val="auto"/>
        </w:rPr>
        <w:t xml:space="preserve"> na terytorium Rzeczypospolitej Polskiej rynek regulowany w rozumieniu ustawy z dnia 29 lipca 2005 r. o obrocie instrumentami finansowymi  - organizujący obrót świadectwami efektywności energetycznej, o których mowa w art. 30 ust. 3 ustawy z dnia 20 maja 2016 r. o efektywności energetycznej. </w:t>
      </w:r>
    </w:p>
    <w:p w:rsidR="007F0E70" w:rsidRPr="006811C9" w:rsidRDefault="007F0E70">
      <w:pPr>
        <w:pStyle w:val="divquotblock"/>
        <w:rPr>
          <w:color w:val="auto"/>
        </w:rPr>
      </w:pPr>
      <w:r w:rsidRPr="006811C9">
        <w:rPr>
          <w:color w:val="auto"/>
        </w:rPr>
        <w:t xml:space="preserve"> 2. Podmiot, o którym mowa w ust. 1, prowadzi rejestr gwarancji pochodzenia w sposób zapewniający identyfikację: </w:t>
      </w:r>
    </w:p>
    <w:p w:rsidR="007F0E70" w:rsidRPr="006811C9" w:rsidRDefault="007F0E70">
      <w:pPr>
        <w:pStyle w:val="divpkt"/>
        <w:rPr>
          <w:color w:val="auto"/>
        </w:rPr>
      </w:pPr>
      <w:r w:rsidRPr="006811C9">
        <w:rPr>
          <w:b/>
          <w:bCs/>
          <w:color w:val="auto"/>
        </w:rPr>
        <w:t xml:space="preserve">1) </w:t>
      </w:r>
      <w:r w:rsidRPr="006811C9">
        <w:rPr>
          <w:color w:val="auto"/>
        </w:rPr>
        <w:t xml:space="preserve"> przedsiębiorstwa energetycznego zajmującego się wytwarzaniem energii elektrycznej w wysokosprawnej </w:t>
      </w:r>
      <w:proofErr w:type="spellStart"/>
      <w:r w:rsidRPr="006811C9">
        <w:rPr>
          <w:color w:val="auto"/>
        </w:rPr>
        <w:t>kogeneracji</w:t>
      </w:r>
      <w:proofErr w:type="spellEnd"/>
      <w:r w:rsidRPr="006811C9">
        <w:rPr>
          <w:color w:val="auto"/>
        </w:rPr>
        <w:t xml:space="preserve">, któremu wydano gwarancję pochodzenia; </w:t>
      </w:r>
    </w:p>
    <w:p w:rsidR="007F0E70" w:rsidRPr="006811C9" w:rsidRDefault="007F0E70">
      <w:pPr>
        <w:pStyle w:val="divpkt"/>
        <w:rPr>
          <w:color w:val="auto"/>
        </w:rPr>
      </w:pPr>
      <w:r w:rsidRPr="006811C9">
        <w:rPr>
          <w:b/>
          <w:bCs/>
          <w:color w:val="auto"/>
        </w:rPr>
        <w:t xml:space="preserve">2) </w:t>
      </w:r>
      <w:r w:rsidRPr="006811C9">
        <w:rPr>
          <w:color w:val="auto"/>
        </w:rPr>
        <w:t xml:space="preserve"> podmiotów, których gwarancje pochodzenia wydane w innym państwie członkowskim Unii Europejskiej, Konfederacji Szwajcarskiej lub państwie członkowskim Europejskiego Porozumienia o Wolnym Handlu (EFTA) - stronie umowy o Europejskim Obszarze Gospodarczym, zostały uznane przez Prezesa Urzędu Regulacji Energetyki; </w:t>
      </w:r>
    </w:p>
    <w:p w:rsidR="007F0E70" w:rsidRPr="006811C9" w:rsidRDefault="007F0E70">
      <w:pPr>
        <w:pStyle w:val="divpkt"/>
        <w:rPr>
          <w:color w:val="auto"/>
        </w:rPr>
      </w:pPr>
      <w:r w:rsidRPr="006811C9">
        <w:rPr>
          <w:b/>
          <w:bCs/>
          <w:color w:val="auto"/>
        </w:rPr>
        <w:t xml:space="preserve">3) </w:t>
      </w:r>
      <w:r w:rsidRPr="006811C9">
        <w:rPr>
          <w:color w:val="auto"/>
        </w:rPr>
        <w:t xml:space="preserve"> przysługujących gwarancji pochodzenia oraz odpowiadającej im ilości energii elektrycznej. </w:t>
      </w:r>
    </w:p>
    <w:p w:rsidR="007F0E70" w:rsidRPr="006811C9" w:rsidRDefault="007F0E70">
      <w:pPr>
        <w:pStyle w:val="divquotblock"/>
        <w:rPr>
          <w:color w:val="auto"/>
        </w:rPr>
      </w:pPr>
      <w:r w:rsidRPr="006811C9">
        <w:rPr>
          <w:color w:val="auto"/>
        </w:rPr>
        <w:t xml:space="preserve"> 3. Prezes Urzędu Regulacji Energetyki przekazuje informacje o wydanych oraz uznanych gwarancjach pochodzenia podmiotowi, o którym mowa w ust. 1. </w:t>
      </w:r>
    </w:p>
    <w:p w:rsidR="007F0E70" w:rsidRPr="006811C9" w:rsidRDefault="007F0E70">
      <w:pPr>
        <w:pStyle w:val="divquotblock"/>
        <w:rPr>
          <w:color w:val="auto"/>
        </w:rPr>
      </w:pPr>
      <w:r w:rsidRPr="006811C9">
        <w:rPr>
          <w:color w:val="auto"/>
        </w:rPr>
        <w:t xml:space="preserve"> 4. Podmiot, o którym mowa w ust. 1, wydaje przedsiębiorstwu energetycznemu zajmującemu się wytwarzaniem energii elektrycznej w wysokosprawnej </w:t>
      </w:r>
      <w:proofErr w:type="spellStart"/>
      <w:r w:rsidRPr="006811C9">
        <w:rPr>
          <w:color w:val="auto"/>
        </w:rPr>
        <w:t>kogeneracji</w:t>
      </w:r>
      <w:proofErr w:type="spellEnd"/>
      <w:r w:rsidRPr="006811C9">
        <w:rPr>
          <w:color w:val="auto"/>
        </w:rPr>
        <w:t xml:space="preserve"> wpisanemu do rejestru gwarancji pochodzenia dokument potwierdzający, że określona w tym dokumencie ilość energii wprowadzonej do sieci dystrybucyjnej lub do sieci przesyłowej została wytworzona w wysokosprawnej </w:t>
      </w:r>
      <w:proofErr w:type="spellStart"/>
      <w:r w:rsidRPr="006811C9">
        <w:rPr>
          <w:color w:val="auto"/>
        </w:rPr>
        <w:t>kogeneracji</w:t>
      </w:r>
      <w:proofErr w:type="spellEnd"/>
      <w:r w:rsidRPr="006811C9">
        <w:rPr>
          <w:color w:val="auto"/>
        </w:rPr>
        <w:t xml:space="preserve">. </w:t>
      </w:r>
    </w:p>
    <w:p w:rsidR="007F0E70" w:rsidRPr="006811C9" w:rsidRDefault="007F0E70">
      <w:pPr>
        <w:pStyle w:val="divquotblock"/>
        <w:rPr>
          <w:color w:val="auto"/>
        </w:rPr>
      </w:pPr>
      <w:r w:rsidRPr="006811C9">
        <w:rPr>
          <w:color w:val="auto"/>
        </w:rPr>
        <w:t xml:space="preserve"> 5. Przedsiębiorstwo energetyczne zajmujące się wytwarzaniem energii elektrycznej w wysokosprawnej </w:t>
      </w:r>
      <w:proofErr w:type="spellStart"/>
      <w:r w:rsidRPr="006811C9">
        <w:rPr>
          <w:color w:val="auto"/>
        </w:rPr>
        <w:t>kogeneracji</w:t>
      </w:r>
      <w:proofErr w:type="spellEnd"/>
      <w:r w:rsidRPr="006811C9">
        <w:rPr>
          <w:color w:val="auto"/>
        </w:rPr>
        <w:t xml:space="preserve"> wpisane do rejestru gwarancji pochodzenia informuje pisemnie Prezesa Urzędu Regulacji Energetyki oraz podmiot, o którym mowa w ust. 1, o przekazaniu gwarancji pochodzenia odbiorcy końcowemu, w terminie 7 dni od dnia jej przekazania. </w:t>
      </w:r>
    </w:p>
    <w:p w:rsidR="007F0E70" w:rsidRPr="006811C9" w:rsidRDefault="007F0E70">
      <w:pPr>
        <w:pStyle w:val="divquotblock"/>
        <w:rPr>
          <w:color w:val="auto"/>
        </w:rPr>
      </w:pPr>
      <w:r w:rsidRPr="006811C9">
        <w:rPr>
          <w:color w:val="auto"/>
        </w:rPr>
        <w:t xml:space="preserve"> 6. Informację, o której mowa w ust. 5, wpisuje się do rejestru gwarancji pochodzenia. </w:t>
      </w:r>
    </w:p>
    <w:p w:rsidR="007F0E70" w:rsidRPr="006811C9" w:rsidRDefault="007F0E70">
      <w:pPr>
        <w:pStyle w:val="divquotblock"/>
        <w:rPr>
          <w:color w:val="auto"/>
        </w:rPr>
      </w:pPr>
      <w:r w:rsidRPr="006811C9">
        <w:rPr>
          <w:color w:val="auto"/>
        </w:rPr>
        <w:t xml:space="preserve"> 7. Wpis do rejestru gwarancji pochodzenia, o którym mowa w ust. 1, oraz zmiany dokonane w tym rejestrze podlegają opłacie w wysokości odzwierciedlającej koszty prowadzenia tego rejestru.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6) </w:t>
      </w:r>
      <w:r w:rsidRPr="006811C9">
        <w:rPr>
          <w:color w:val="auto"/>
        </w:rPr>
        <w:t xml:space="preserve"> po art. 10 dodaje się art. 10a-10c w brzmieniu: </w:t>
      </w:r>
    </w:p>
    <w:p w:rsidR="007F0E70" w:rsidRPr="006811C9" w:rsidRDefault="007F0E70">
      <w:pPr>
        <w:pStyle w:val="divquotblock"/>
        <w:rPr>
          <w:color w:val="auto"/>
        </w:rPr>
      </w:pPr>
      <w:r w:rsidRPr="006811C9">
        <w:rPr>
          <w:color w:val="auto"/>
        </w:rPr>
        <w:t xml:space="preserve">,, Art. 10a. </w:t>
      </w:r>
    </w:p>
    <w:p w:rsidR="007F0E70" w:rsidRPr="006811C9" w:rsidRDefault="007F0E70">
      <w:pPr>
        <w:pStyle w:val="divquotblock"/>
        <w:rPr>
          <w:color w:val="auto"/>
        </w:rPr>
      </w:pPr>
      <w:r w:rsidRPr="006811C9">
        <w:rPr>
          <w:color w:val="auto"/>
        </w:rPr>
        <w:t xml:space="preserve"> 1. Przedsiębiorstwa energetyczne zajmujące się wytwarzaniem energii elektrycznej lub ciepła, przesyłaniem i dystrybucją ciepła oraz inni przedsiębiorcy, planujący budowę, przebudowę lub znaczną modernizację po dniu 5 czerwca 2014 r. jednostki wytwórczej o mocy nominalnej cieplnej powyżej 20 MW, sieci ciepłowniczej lub sieci chłodniczej, sporządzają analizę kosztów i korzyści budowy, przebudowy lub znacznej modernizacji tej jednostki lub sieci ciepłowniczej, lub sieci chłodniczej, mającą na celu określenie najbardziej efektywnych pod względem zasobów oraz opłacalnych rozwiązań umożliwiających spełnienie wymogów w zakresie ogrzewania i chłodzenia, zwaną dalej „analizą kosztów i korzyści”. </w:t>
      </w:r>
    </w:p>
    <w:p w:rsidR="007F0E70" w:rsidRPr="006811C9" w:rsidRDefault="007F0E70">
      <w:pPr>
        <w:pStyle w:val="divquotblock"/>
        <w:rPr>
          <w:color w:val="auto"/>
        </w:rPr>
      </w:pPr>
      <w:r w:rsidRPr="006811C9">
        <w:rPr>
          <w:color w:val="auto"/>
        </w:rPr>
        <w:t xml:space="preserve"> 2. Przez znaczną modernizację, o której mowa w ust. 1, rozumie się modernizację jednostki wytwórczej o mocy nominalnej cieplnej powyżej 20 MW lub sieci ciepłowniczej, lub sieci chłodniczej, której koszt przekracza 50% kosztu inwestycyjnego nowej porównywalnej jednostki wytwórczej lub sieci ciepłowniczej, lub sieci chłodniczej. </w:t>
      </w:r>
    </w:p>
    <w:p w:rsidR="007F0E70" w:rsidRPr="006811C9" w:rsidRDefault="007F0E70">
      <w:pPr>
        <w:pStyle w:val="divquotblock"/>
        <w:rPr>
          <w:color w:val="auto"/>
        </w:rPr>
      </w:pPr>
      <w:r w:rsidRPr="006811C9">
        <w:rPr>
          <w:color w:val="auto"/>
        </w:rPr>
        <w:t xml:space="preserve"> 3. Analizę kosztów i korzyści sporządza się z uwzględnieniem: </w:t>
      </w:r>
    </w:p>
    <w:p w:rsidR="007F0E70" w:rsidRPr="006811C9" w:rsidRDefault="007F0E70">
      <w:pPr>
        <w:pStyle w:val="divpkt"/>
        <w:rPr>
          <w:color w:val="auto"/>
        </w:rPr>
      </w:pPr>
      <w:r w:rsidRPr="006811C9">
        <w:rPr>
          <w:b/>
          <w:bCs/>
          <w:color w:val="auto"/>
        </w:rPr>
        <w:t xml:space="preserve">1) </w:t>
      </w:r>
      <w:r w:rsidRPr="006811C9">
        <w:rPr>
          <w:color w:val="auto"/>
        </w:rPr>
        <w:t xml:space="preserve"> zainstalowanej mocy elektrycznej lub zainstalowanej mocy cieplnej; </w:t>
      </w:r>
    </w:p>
    <w:p w:rsidR="007F0E70" w:rsidRPr="006811C9" w:rsidRDefault="007F0E70">
      <w:pPr>
        <w:pStyle w:val="divpkt"/>
        <w:rPr>
          <w:color w:val="auto"/>
        </w:rPr>
      </w:pPr>
      <w:r w:rsidRPr="006811C9">
        <w:rPr>
          <w:b/>
          <w:bCs/>
          <w:color w:val="auto"/>
        </w:rPr>
        <w:t xml:space="preserve">2) </w:t>
      </w:r>
      <w:r w:rsidRPr="006811C9">
        <w:rPr>
          <w:color w:val="auto"/>
        </w:rPr>
        <w:t xml:space="preserve"> rodzaju paliwa zużywanego do wytwarzania energii elektrycznej lub ciepła; </w:t>
      </w:r>
    </w:p>
    <w:p w:rsidR="007F0E70" w:rsidRPr="006811C9" w:rsidRDefault="007F0E70">
      <w:pPr>
        <w:pStyle w:val="divpkt"/>
        <w:rPr>
          <w:color w:val="auto"/>
        </w:rPr>
      </w:pPr>
      <w:r w:rsidRPr="006811C9">
        <w:rPr>
          <w:b/>
          <w:bCs/>
          <w:color w:val="auto"/>
        </w:rPr>
        <w:t xml:space="preserve">3) </w:t>
      </w:r>
      <w:r w:rsidRPr="006811C9">
        <w:rPr>
          <w:color w:val="auto"/>
        </w:rPr>
        <w:t xml:space="preserve"> planowanej liczby godzin pracy jednostki wytwórczej lub sieci ciepłowniczej, lub sieci chłodniczej w ciągu roku; </w:t>
      </w:r>
    </w:p>
    <w:p w:rsidR="007F0E70" w:rsidRPr="006811C9" w:rsidRDefault="007F0E70">
      <w:pPr>
        <w:pStyle w:val="divpkt"/>
        <w:rPr>
          <w:color w:val="auto"/>
        </w:rPr>
      </w:pPr>
      <w:r w:rsidRPr="006811C9">
        <w:rPr>
          <w:b/>
          <w:bCs/>
          <w:color w:val="auto"/>
        </w:rPr>
        <w:t xml:space="preserve">4) </w:t>
      </w:r>
      <w:r w:rsidRPr="006811C9">
        <w:rPr>
          <w:color w:val="auto"/>
        </w:rPr>
        <w:t xml:space="preserve"> lokalizacji jednostki wytwórczej lub sieci ciepłowniczej, lub chłodniczej; </w:t>
      </w:r>
    </w:p>
    <w:p w:rsidR="007F0E70" w:rsidRPr="006811C9" w:rsidRDefault="007F0E70">
      <w:pPr>
        <w:pStyle w:val="divpkt"/>
        <w:rPr>
          <w:color w:val="auto"/>
        </w:rPr>
      </w:pPr>
      <w:r w:rsidRPr="006811C9">
        <w:rPr>
          <w:b/>
          <w:bCs/>
          <w:color w:val="auto"/>
        </w:rPr>
        <w:t xml:space="preserve">5) </w:t>
      </w:r>
      <w:r w:rsidRPr="006811C9">
        <w:rPr>
          <w:color w:val="auto"/>
        </w:rPr>
        <w:t xml:space="preserve"> zapotrzebowania na energię elektryczną lub ciepło, lub chłód. </w:t>
      </w:r>
    </w:p>
    <w:p w:rsidR="007F0E70" w:rsidRPr="006811C9" w:rsidRDefault="007F0E70">
      <w:pPr>
        <w:pStyle w:val="divquotblock"/>
        <w:rPr>
          <w:color w:val="auto"/>
        </w:rPr>
      </w:pPr>
      <w:r w:rsidRPr="006811C9">
        <w:rPr>
          <w:color w:val="auto"/>
        </w:rPr>
        <w:t xml:space="preserve"> 4. Analiza kosztów i korzyści opiera się na opisie planowanej budowy, przebudowy lub znacznej modernizacji jednostki wytwórczej, sieci ciepłowniczej lub sieci chłodniczej oraz zawiera analizę ekonomiczną obejmującą analizę finansową, która odzwierciedla rzeczywiste przepływy pieniężne z nakładów inwestycyjnych poniesionych na budowę, przebudowę lub znaczną modernizację jednostki wytwórczej, sieci ciepłowniczej lub sieci chłodniczej oraz planowane koszty i przychody z ich eksploatacji. </w:t>
      </w:r>
    </w:p>
    <w:p w:rsidR="007F0E70" w:rsidRPr="006811C9" w:rsidRDefault="007F0E70">
      <w:pPr>
        <w:pStyle w:val="divquotblock"/>
        <w:rPr>
          <w:color w:val="auto"/>
        </w:rPr>
      </w:pPr>
      <w:r w:rsidRPr="006811C9">
        <w:rPr>
          <w:color w:val="auto"/>
        </w:rPr>
        <w:t xml:space="preserve"> 5. Analizę kosztów i korzyści sporządza się na okres cyklu życia planowanej jednostki wytwórczej, sieci ciepłowniczej lub sieci chłodniczej. </w:t>
      </w:r>
    </w:p>
    <w:p w:rsidR="007F0E70" w:rsidRPr="006811C9" w:rsidRDefault="007F0E70">
      <w:pPr>
        <w:pStyle w:val="divquotblock"/>
        <w:rPr>
          <w:color w:val="auto"/>
        </w:rPr>
      </w:pPr>
      <w:r w:rsidRPr="006811C9">
        <w:rPr>
          <w:color w:val="auto"/>
        </w:rPr>
        <w:t xml:space="preserve"> Art. 10b. </w:t>
      </w:r>
    </w:p>
    <w:p w:rsidR="007F0E70" w:rsidRPr="006811C9" w:rsidRDefault="007F0E70">
      <w:pPr>
        <w:pStyle w:val="divquotblock"/>
        <w:rPr>
          <w:color w:val="auto"/>
        </w:rPr>
      </w:pPr>
      <w:r w:rsidRPr="006811C9">
        <w:rPr>
          <w:color w:val="auto"/>
        </w:rPr>
        <w:t xml:space="preserve"> 1. Przedsiębiorstwa energetyczne oraz inni przedsiębiorcy, o których mowa w art. 10a ust. 1, planujący: </w:t>
      </w:r>
    </w:p>
    <w:p w:rsidR="007F0E70" w:rsidRPr="006811C9" w:rsidRDefault="007F0E70">
      <w:pPr>
        <w:pStyle w:val="divpkt"/>
        <w:rPr>
          <w:color w:val="auto"/>
        </w:rPr>
      </w:pPr>
      <w:r w:rsidRPr="006811C9">
        <w:rPr>
          <w:b/>
          <w:bCs/>
          <w:color w:val="auto"/>
        </w:rPr>
        <w:t xml:space="preserve">1) </w:t>
      </w:r>
      <w:r w:rsidRPr="006811C9">
        <w:rPr>
          <w:color w:val="auto"/>
        </w:rPr>
        <w:t xml:space="preserve"> budowę jednostki wytwórczej o mocy nominalnej cieplnej przekraczającej 20 MW - sporządzają analizę kosztów i korzyści wybudowania nowej jednostki </w:t>
      </w:r>
      <w:proofErr w:type="spellStart"/>
      <w:r w:rsidRPr="006811C9">
        <w:rPr>
          <w:color w:val="auto"/>
        </w:rPr>
        <w:t>kogeneracji</w:t>
      </w:r>
      <w:proofErr w:type="spellEnd"/>
      <w:r w:rsidRPr="006811C9">
        <w:rPr>
          <w:color w:val="auto"/>
        </w:rPr>
        <w:t xml:space="preserve"> w miejsce pracującej jednostki wytwórczej; </w:t>
      </w:r>
    </w:p>
    <w:p w:rsidR="007F0E70" w:rsidRPr="006811C9" w:rsidRDefault="007F0E70">
      <w:pPr>
        <w:pStyle w:val="divpkt"/>
        <w:rPr>
          <w:color w:val="auto"/>
        </w:rPr>
      </w:pPr>
      <w:r w:rsidRPr="006811C9">
        <w:rPr>
          <w:b/>
          <w:bCs/>
          <w:color w:val="auto"/>
        </w:rPr>
        <w:t xml:space="preserve">2) </w:t>
      </w:r>
      <w:r w:rsidRPr="006811C9">
        <w:rPr>
          <w:color w:val="auto"/>
        </w:rPr>
        <w:t xml:space="preserve"> przebudowę lub znaczną modernizację jednostki wytwórczej o mocy nominalnej cieplnej przekraczającej 20 MW - sporządzają analizę kosztów i korzyści przebudowy lub znacznej modernizacji tej jednostki wytwórczej na jednostkę </w:t>
      </w:r>
      <w:proofErr w:type="spellStart"/>
      <w:r w:rsidRPr="006811C9">
        <w:rPr>
          <w:color w:val="auto"/>
        </w:rPr>
        <w:t>kogeneracji</w:t>
      </w:r>
      <w:proofErr w:type="spellEnd"/>
      <w:r w:rsidRPr="006811C9">
        <w:rPr>
          <w:color w:val="auto"/>
        </w:rPr>
        <w:t xml:space="preserve">; </w:t>
      </w:r>
    </w:p>
    <w:p w:rsidR="007F0E70" w:rsidRPr="006811C9" w:rsidRDefault="007F0E70">
      <w:pPr>
        <w:pStyle w:val="divpkt"/>
        <w:rPr>
          <w:color w:val="auto"/>
        </w:rPr>
      </w:pPr>
      <w:r w:rsidRPr="006811C9">
        <w:rPr>
          <w:b/>
          <w:bCs/>
          <w:color w:val="auto"/>
        </w:rPr>
        <w:t xml:space="preserve">3) </w:t>
      </w:r>
      <w:r w:rsidRPr="006811C9">
        <w:rPr>
          <w:color w:val="auto"/>
        </w:rPr>
        <w:t xml:space="preserve"> budowę lub przebudowę, lub znaczną modernizację elektrowni lub elektrociepłowni przemysłowej, w rozumieniu przepisów rozporządzenia Parlamentu Europejskiego i Rady (WE) nr 1099/2008 z dnia 22 października 2008 r. w sprawie statystyki energii (</w:t>
      </w:r>
      <w:proofErr w:type="spellStart"/>
      <w:r w:rsidRPr="006811C9">
        <w:rPr>
          <w:color w:val="auto"/>
        </w:rPr>
        <w:t>Dz.Urz</w:t>
      </w:r>
      <w:proofErr w:type="spellEnd"/>
      <w:r w:rsidRPr="006811C9">
        <w:rPr>
          <w:color w:val="auto"/>
        </w:rPr>
        <w:t xml:space="preserve">. UE L 304 z 14.11.2008, str. 1, z </w:t>
      </w:r>
      <w:proofErr w:type="spellStart"/>
      <w:r w:rsidRPr="006811C9">
        <w:rPr>
          <w:color w:val="auto"/>
        </w:rPr>
        <w:t>późn</w:t>
      </w:r>
      <w:proofErr w:type="spellEnd"/>
      <w:r w:rsidRPr="006811C9">
        <w:rPr>
          <w:color w:val="auto"/>
        </w:rPr>
        <w:t xml:space="preserve">. zm.), o mocy nominalnej cieplnej przekraczającej 20 MW lub wytwarzającej ciepło odpadowe z instalacji przemysłowej - sporządzają analizę kosztów i korzyści wykorzystania tego ciepła, w tym w wysokosprawnej </w:t>
      </w:r>
      <w:proofErr w:type="spellStart"/>
      <w:r w:rsidRPr="006811C9">
        <w:rPr>
          <w:color w:val="auto"/>
        </w:rPr>
        <w:t>kogeneracji</w:t>
      </w:r>
      <w:proofErr w:type="spellEnd"/>
      <w:r w:rsidRPr="006811C9">
        <w:rPr>
          <w:color w:val="auto"/>
        </w:rPr>
        <w:t xml:space="preserve">, oraz przyłączenia wybudowanej lub przebudowanej, lub poddanej znacznej modernizacji elektrowni lub elektrociepłowni przemysłowej do sieci ciepłowniczej lub chłodniczej; </w:t>
      </w:r>
    </w:p>
    <w:p w:rsidR="007F0E70" w:rsidRPr="006811C9" w:rsidRDefault="007F0E70">
      <w:pPr>
        <w:pStyle w:val="divpkt"/>
        <w:rPr>
          <w:color w:val="auto"/>
        </w:rPr>
      </w:pPr>
      <w:r w:rsidRPr="006811C9">
        <w:rPr>
          <w:b/>
          <w:bCs/>
          <w:color w:val="auto"/>
        </w:rPr>
        <w:t xml:space="preserve">4) </w:t>
      </w:r>
      <w:r w:rsidRPr="006811C9">
        <w:rPr>
          <w:color w:val="auto"/>
        </w:rPr>
        <w:t xml:space="preserve"> budowę sieci ciepłowniczej lub sieci chłodniczej lub przyłączenie do tej sieci jednostki wytwórczej o mocy nominalnej cieplnej przekraczającej 20 MW, lub przebudowę, lub znaczną modernizację tej jednostki wytwórczej - sporządzają analizę kosztów i korzyści wykorzystania ciepła odpadowego. </w:t>
      </w:r>
    </w:p>
    <w:p w:rsidR="007F0E70" w:rsidRPr="006811C9" w:rsidRDefault="007F0E70">
      <w:pPr>
        <w:pStyle w:val="divquotblock"/>
        <w:rPr>
          <w:color w:val="auto"/>
        </w:rPr>
      </w:pPr>
      <w:r w:rsidRPr="006811C9">
        <w:rPr>
          <w:color w:val="auto"/>
        </w:rPr>
        <w:t xml:space="preserve"> 2. Budowa urządzeń, instalacji lub sieci służących wychwytywaniu dwutlenku węgla w celu jego podziemnego składowania w celu przeprowadzenia projektu demonstracyjnego wychwytu i składowania dwutlenku węgla w rozumieniu art. 1 ust. 3 ustawy z dnia 9 czerwca 2011 r. - Prawo geologiczne i górnicze nie stanowi przebudowy jednostki wytwórczej, elektrowni lub elektrociepłowni przemysłowej ani budowy sieci, o których mowa w ust. 1 </w:t>
      </w:r>
      <w:proofErr w:type="spellStart"/>
      <w:r w:rsidRPr="006811C9">
        <w:rPr>
          <w:color w:val="auto"/>
        </w:rPr>
        <w:t>pkt</w:t>
      </w:r>
      <w:proofErr w:type="spellEnd"/>
      <w:r w:rsidRPr="006811C9">
        <w:rPr>
          <w:color w:val="auto"/>
        </w:rPr>
        <w:t xml:space="preserve"> 2-4. </w:t>
      </w:r>
    </w:p>
    <w:p w:rsidR="007F0E70" w:rsidRPr="006811C9" w:rsidRDefault="007F0E70">
      <w:pPr>
        <w:pStyle w:val="divquotblock"/>
        <w:rPr>
          <w:color w:val="auto"/>
        </w:rPr>
      </w:pPr>
      <w:r w:rsidRPr="006811C9">
        <w:rPr>
          <w:color w:val="auto"/>
        </w:rPr>
        <w:t xml:space="preserve"> 3. Przepisów ust. 1 nie stosuje się do: </w:t>
      </w:r>
    </w:p>
    <w:p w:rsidR="007F0E70" w:rsidRPr="006811C9" w:rsidRDefault="007F0E70">
      <w:pPr>
        <w:pStyle w:val="divpkt"/>
        <w:rPr>
          <w:color w:val="auto"/>
        </w:rPr>
      </w:pPr>
      <w:r w:rsidRPr="006811C9">
        <w:rPr>
          <w:b/>
          <w:bCs/>
          <w:color w:val="auto"/>
        </w:rPr>
        <w:t xml:space="preserve">1) </w:t>
      </w:r>
      <w:r w:rsidRPr="006811C9">
        <w:rPr>
          <w:color w:val="auto"/>
        </w:rPr>
        <w:t xml:space="preserve"> jednostek wytwórczych w okresach szczytowego zapotrzebowania na energię elektryczną oraz rezerw zdolności wytwórczych pracujących w okresie nie dłuższym niż 1500 godzin w roku, jako średnia z pięciu kolejnych lat; </w:t>
      </w:r>
    </w:p>
    <w:p w:rsidR="007F0E70" w:rsidRPr="006811C9" w:rsidRDefault="007F0E70">
      <w:pPr>
        <w:pStyle w:val="divpkt"/>
        <w:rPr>
          <w:color w:val="auto"/>
        </w:rPr>
      </w:pPr>
      <w:r w:rsidRPr="006811C9">
        <w:rPr>
          <w:b/>
          <w:bCs/>
          <w:color w:val="auto"/>
        </w:rPr>
        <w:t xml:space="preserve">2) </w:t>
      </w:r>
      <w:r w:rsidRPr="006811C9">
        <w:rPr>
          <w:color w:val="auto"/>
        </w:rPr>
        <w:t xml:space="preserve"> obiektu energetyki jądrowej, o którym mowa w ustawie z dnia 29 czerwca 2011 r. o przygotowaniu i realizacji inwestycji w zakresie obiektów energetyki jądrowej oraz inwestycji towarzyszących; </w:t>
      </w:r>
    </w:p>
    <w:p w:rsidR="007F0E70" w:rsidRPr="006811C9" w:rsidRDefault="007F0E70">
      <w:pPr>
        <w:pStyle w:val="divpkt"/>
        <w:rPr>
          <w:color w:val="auto"/>
        </w:rPr>
      </w:pPr>
      <w:r w:rsidRPr="006811C9">
        <w:rPr>
          <w:b/>
          <w:bCs/>
          <w:color w:val="auto"/>
        </w:rPr>
        <w:t xml:space="preserve">3) </w:t>
      </w:r>
      <w:r w:rsidRPr="006811C9">
        <w:rPr>
          <w:color w:val="auto"/>
        </w:rPr>
        <w:t xml:space="preserve"> urządzeń, instalacji i sieci niezbędnych do prawidłowego funkcjonowania podziemnego składowiska dwutlenku węgla w rozumieniu ustawy z dnia 9 czerwca 2011 r. - Prawo geologiczne i górnicze. </w:t>
      </w:r>
    </w:p>
    <w:p w:rsidR="007F0E70" w:rsidRPr="006811C9" w:rsidRDefault="007F0E70">
      <w:pPr>
        <w:pStyle w:val="divquotblock"/>
        <w:rPr>
          <w:color w:val="auto"/>
        </w:rPr>
      </w:pPr>
      <w:r w:rsidRPr="006811C9">
        <w:rPr>
          <w:color w:val="auto"/>
        </w:rPr>
        <w:t xml:space="preserve"> 4. Jeżeli jest planowana budowa lub przebudowa, lub znaczna modernizacja jednostki wytwórczej energii elektrycznej lub elektrowni przemysłowej, analiza kosztów i korzyści zawiera porównanie tej jednostki lub elektrowni z jednostką wytwórczą lub elektrociepłownią przemysłową wytwarzającą taką samą ilość energii elektrycznej w procesie wytwarzania ciepła odpadowego w instalacji przemysłowej lub w wysokosprawnej </w:t>
      </w:r>
      <w:proofErr w:type="spellStart"/>
      <w:r w:rsidRPr="006811C9">
        <w:rPr>
          <w:color w:val="auto"/>
        </w:rPr>
        <w:t>kogeneracji</w:t>
      </w:r>
      <w:proofErr w:type="spellEnd"/>
      <w:r w:rsidRPr="006811C9">
        <w:rPr>
          <w:color w:val="auto"/>
        </w:rPr>
        <w:t xml:space="preserve"> albo zaopatrującą użytkowników systemu w wytworzone ciepło lub chłód za pomocą sieci ciepłowniczych lub chłodniczych. </w:t>
      </w:r>
    </w:p>
    <w:p w:rsidR="007F0E70" w:rsidRPr="006811C9" w:rsidRDefault="007F0E70">
      <w:pPr>
        <w:pStyle w:val="divquotblock"/>
        <w:rPr>
          <w:color w:val="auto"/>
        </w:rPr>
      </w:pPr>
      <w:r w:rsidRPr="006811C9">
        <w:rPr>
          <w:color w:val="auto"/>
        </w:rPr>
        <w:t xml:space="preserve"> 5. W przypadkach, o których mowa w ust. 1 </w:t>
      </w:r>
      <w:proofErr w:type="spellStart"/>
      <w:r w:rsidRPr="006811C9">
        <w:rPr>
          <w:color w:val="auto"/>
        </w:rPr>
        <w:t>pkt</w:t>
      </w:r>
      <w:proofErr w:type="spellEnd"/>
      <w:r w:rsidRPr="006811C9">
        <w:rPr>
          <w:color w:val="auto"/>
        </w:rPr>
        <w:t xml:space="preserve"> 3 i 4, przedsiębiorstwa energetyczne oraz przedsiębiorcy, o których mowa w art. 10a ust. 1, sporządzają analizę kosztów i korzyści we współpracy z przedsiębiorstwem energetycznym zajmującym się przesyłaniem i dystrybucją ciepła lub chłodu. </w:t>
      </w:r>
    </w:p>
    <w:p w:rsidR="007F0E70" w:rsidRPr="006811C9" w:rsidRDefault="007F0E70">
      <w:pPr>
        <w:pStyle w:val="divquotblock"/>
        <w:rPr>
          <w:color w:val="auto"/>
        </w:rPr>
      </w:pPr>
      <w:r w:rsidRPr="006811C9">
        <w:rPr>
          <w:color w:val="auto"/>
        </w:rPr>
        <w:t xml:space="preserve"> 6. Przez moc nominalną cieplną, o której mowa w ust. 1 oraz w art. 10a ust. 1, rozumie się ilość energii wprowadzonej w paliwie do źródła spalania paliw w jednostce czasu przy jego nominalnym obciążeniu. </w:t>
      </w:r>
    </w:p>
    <w:p w:rsidR="007F0E70" w:rsidRPr="006811C9" w:rsidRDefault="007F0E70">
      <w:pPr>
        <w:pStyle w:val="divquotblock"/>
        <w:rPr>
          <w:color w:val="auto"/>
        </w:rPr>
      </w:pPr>
      <w:r w:rsidRPr="006811C9">
        <w:rPr>
          <w:color w:val="auto"/>
        </w:rPr>
        <w:t xml:space="preserve"> Art. 10c. </w:t>
      </w:r>
    </w:p>
    <w:p w:rsidR="007F0E70" w:rsidRPr="006811C9" w:rsidRDefault="007F0E70">
      <w:pPr>
        <w:pStyle w:val="divquotblock"/>
        <w:rPr>
          <w:color w:val="auto"/>
        </w:rPr>
      </w:pPr>
      <w:r w:rsidRPr="006811C9">
        <w:rPr>
          <w:color w:val="auto"/>
        </w:rPr>
        <w:t xml:space="preserve"> 1. Minister właściwy do spraw energii sporządza ocenę potencjału wytwarzania energii elektrycznej w wysokosprawnej </w:t>
      </w:r>
      <w:proofErr w:type="spellStart"/>
      <w:r w:rsidRPr="006811C9">
        <w:rPr>
          <w:color w:val="auto"/>
        </w:rPr>
        <w:t>kogeneracji</w:t>
      </w:r>
      <w:proofErr w:type="spellEnd"/>
      <w:r w:rsidRPr="006811C9">
        <w:rPr>
          <w:color w:val="auto"/>
        </w:rPr>
        <w:t xml:space="preserve"> oraz efektywnych energetycznie systemów ciepłowniczych lub chłodniczych i o jej sporządzeniu powiadamia Komisję Europejską. </w:t>
      </w:r>
    </w:p>
    <w:p w:rsidR="007F0E70" w:rsidRPr="006811C9" w:rsidRDefault="007F0E70">
      <w:pPr>
        <w:pStyle w:val="divquotblock"/>
        <w:rPr>
          <w:color w:val="auto"/>
        </w:rPr>
      </w:pPr>
      <w:r w:rsidRPr="006811C9">
        <w:rPr>
          <w:color w:val="auto"/>
        </w:rPr>
        <w:t xml:space="preserve"> 2. W celu sporządzenia oceny, o której mowa w ust. 1, minister właściwy do spraw energii przeprowadza analizę wprowadzenia określonych wariantów wytwarzania energii elektrycznej w wysokosprawnej </w:t>
      </w:r>
      <w:proofErr w:type="spellStart"/>
      <w:r w:rsidRPr="006811C9">
        <w:rPr>
          <w:color w:val="auto"/>
        </w:rPr>
        <w:t>kogeneracji</w:t>
      </w:r>
      <w:proofErr w:type="spellEnd"/>
      <w:r w:rsidRPr="006811C9">
        <w:rPr>
          <w:color w:val="auto"/>
        </w:rPr>
        <w:t xml:space="preserve"> oraz efektywnych energetycznie systemów ciepłowniczych i chłodniczych na terytorium Rzeczypospolitej Polskiej, w tym możliwości techniczne oraz opłacalność ekonomiczną wprowadzenia tych wariantów. </w:t>
      </w:r>
    </w:p>
    <w:p w:rsidR="007F0E70" w:rsidRPr="006811C9" w:rsidRDefault="007F0E70">
      <w:pPr>
        <w:pStyle w:val="divquotblock"/>
        <w:rPr>
          <w:color w:val="auto"/>
        </w:rPr>
      </w:pPr>
      <w:r w:rsidRPr="006811C9">
        <w:rPr>
          <w:color w:val="auto"/>
        </w:rPr>
        <w:t xml:space="preserve"> 3. Minister właściwy do spraw energii co pięć lat lub na żądanie Komisji Europejskiej aktualizuje ocenę, o której mowa w ust. 1, i o tej aktualizacji powiadamia Komisję Europejską.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7) </w:t>
      </w:r>
      <w:r w:rsidRPr="006811C9">
        <w:rPr>
          <w:color w:val="auto"/>
        </w:rPr>
        <w:t xml:space="preserve"> w art. 16a w ust. 5 w </w:t>
      </w:r>
      <w:proofErr w:type="spellStart"/>
      <w:r w:rsidRPr="006811C9">
        <w:rPr>
          <w:color w:val="auto"/>
        </w:rPr>
        <w:t>pkt</w:t>
      </w:r>
      <w:proofErr w:type="spellEnd"/>
      <w:r w:rsidRPr="006811C9">
        <w:rPr>
          <w:color w:val="auto"/>
        </w:rPr>
        <w:t xml:space="preserve"> 6 kropkę zastępuje się średnikiem i dodaje się </w:t>
      </w:r>
      <w:proofErr w:type="spellStart"/>
      <w:r w:rsidRPr="006811C9">
        <w:rPr>
          <w:color w:val="auto"/>
        </w:rPr>
        <w:t>pkt</w:t>
      </w:r>
      <w:proofErr w:type="spellEnd"/>
      <w:r w:rsidRPr="006811C9">
        <w:rPr>
          <w:color w:val="auto"/>
        </w:rPr>
        <w:t xml:space="preserve"> 7 w brzmieniu: </w:t>
      </w:r>
    </w:p>
    <w:p w:rsidR="007F0E70" w:rsidRPr="006811C9" w:rsidRDefault="007F0E70">
      <w:pPr>
        <w:pStyle w:val="divquotblock"/>
        <w:rPr>
          <w:rFonts w:ascii="Times New Roman" w:hAnsi="Times New Roman" w:cs="Times New Roman"/>
          <w:color w:val="auto"/>
          <w:sz w:val="24"/>
          <w:szCs w:val="24"/>
        </w:rPr>
      </w:pPr>
    </w:p>
    <w:p w:rsidR="007F0E70" w:rsidRPr="006811C9" w:rsidRDefault="007F0E70">
      <w:pPr>
        <w:pStyle w:val="divpkt"/>
        <w:rPr>
          <w:color w:val="auto"/>
        </w:rPr>
      </w:pPr>
      <w:r w:rsidRPr="006811C9">
        <w:rPr>
          <w:color w:val="auto"/>
        </w:rPr>
        <w:t xml:space="preserve">,, </w:t>
      </w:r>
      <w:r w:rsidRPr="006811C9">
        <w:rPr>
          <w:b/>
          <w:bCs/>
          <w:color w:val="auto"/>
        </w:rPr>
        <w:t xml:space="preserve">7) </w:t>
      </w:r>
      <w:r w:rsidRPr="006811C9">
        <w:rPr>
          <w:color w:val="auto"/>
        </w:rPr>
        <w:t xml:space="preserve"> wynikami oceny, o której mowa w art. 10c ust. 1, oraz analizą kosztów i korzyści.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8) </w:t>
      </w:r>
      <w:r w:rsidRPr="006811C9">
        <w:rPr>
          <w:color w:val="auto"/>
        </w:rPr>
        <w:t xml:space="preserve"> w art. 18 w ust. 1 w </w:t>
      </w:r>
      <w:proofErr w:type="spellStart"/>
      <w:r w:rsidRPr="006811C9">
        <w:rPr>
          <w:color w:val="auto"/>
        </w:rPr>
        <w:t>pkt</w:t>
      </w:r>
      <w:proofErr w:type="spellEnd"/>
      <w:r w:rsidRPr="006811C9">
        <w:rPr>
          <w:color w:val="auto"/>
        </w:rPr>
        <w:t xml:space="preserve"> 4 kropkę zastępuje się średnikiem i dodaje się </w:t>
      </w:r>
      <w:proofErr w:type="spellStart"/>
      <w:r w:rsidRPr="006811C9">
        <w:rPr>
          <w:color w:val="auto"/>
        </w:rPr>
        <w:t>pkt</w:t>
      </w:r>
      <w:proofErr w:type="spellEnd"/>
      <w:r w:rsidRPr="006811C9">
        <w:rPr>
          <w:color w:val="auto"/>
        </w:rPr>
        <w:t xml:space="preserve"> 5 w brzmieniu: </w:t>
      </w:r>
    </w:p>
    <w:p w:rsidR="007F0E70" w:rsidRPr="006811C9" w:rsidRDefault="007F0E70">
      <w:pPr>
        <w:pStyle w:val="divquotblock"/>
        <w:rPr>
          <w:rFonts w:ascii="Times New Roman" w:hAnsi="Times New Roman" w:cs="Times New Roman"/>
          <w:color w:val="auto"/>
          <w:sz w:val="24"/>
          <w:szCs w:val="24"/>
        </w:rPr>
      </w:pPr>
    </w:p>
    <w:p w:rsidR="007F0E70" w:rsidRPr="006811C9" w:rsidRDefault="007F0E70">
      <w:pPr>
        <w:pStyle w:val="divpkt"/>
        <w:rPr>
          <w:color w:val="auto"/>
        </w:rPr>
      </w:pPr>
      <w:r w:rsidRPr="006811C9">
        <w:rPr>
          <w:color w:val="auto"/>
        </w:rPr>
        <w:t xml:space="preserve">,, </w:t>
      </w:r>
      <w:r w:rsidRPr="006811C9">
        <w:rPr>
          <w:b/>
          <w:bCs/>
          <w:color w:val="auto"/>
        </w:rPr>
        <w:t xml:space="preserve">5) </w:t>
      </w:r>
      <w:r w:rsidRPr="006811C9">
        <w:rPr>
          <w:color w:val="auto"/>
        </w:rPr>
        <w:t xml:space="preserve"> ocena potencjału wytwarzania energii elektrycznej w wysokosprawnej </w:t>
      </w:r>
      <w:proofErr w:type="spellStart"/>
      <w:r w:rsidRPr="006811C9">
        <w:rPr>
          <w:color w:val="auto"/>
        </w:rPr>
        <w:t>kogeneracji</w:t>
      </w:r>
      <w:proofErr w:type="spellEnd"/>
      <w:r w:rsidRPr="006811C9">
        <w:rPr>
          <w:color w:val="auto"/>
        </w:rPr>
        <w:t xml:space="preserve"> oraz efektywnych energetycznie systemów ciepłowniczych lub chłodniczych na obszarze gminy.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9) </w:t>
      </w:r>
      <w:r w:rsidRPr="006811C9">
        <w:rPr>
          <w:color w:val="auto"/>
        </w:rPr>
        <w:t xml:space="preserve"> w art. 19 w ust. 3 </w:t>
      </w:r>
      <w:proofErr w:type="spellStart"/>
      <w:r w:rsidRPr="006811C9">
        <w:rPr>
          <w:color w:val="auto"/>
        </w:rPr>
        <w:t>pkt</w:t>
      </w:r>
      <w:proofErr w:type="spellEnd"/>
      <w:r w:rsidRPr="006811C9">
        <w:rPr>
          <w:color w:val="auto"/>
        </w:rPr>
        <w:t xml:space="preserve"> 3a otrzymuje brzmienie: </w:t>
      </w:r>
    </w:p>
    <w:p w:rsidR="007F0E70" w:rsidRPr="006811C9" w:rsidRDefault="007F0E70">
      <w:pPr>
        <w:pStyle w:val="divquotblock"/>
        <w:rPr>
          <w:rFonts w:ascii="Times New Roman" w:hAnsi="Times New Roman" w:cs="Times New Roman"/>
          <w:color w:val="auto"/>
          <w:sz w:val="24"/>
          <w:szCs w:val="24"/>
        </w:rPr>
      </w:pPr>
    </w:p>
    <w:p w:rsidR="007F0E70" w:rsidRPr="006811C9" w:rsidRDefault="007F0E70">
      <w:pPr>
        <w:pStyle w:val="divpkt"/>
        <w:rPr>
          <w:color w:val="auto"/>
        </w:rPr>
      </w:pPr>
      <w:r w:rsidRPr="006811C9">
        <w:rPr>
          <w:color w:val="auto"/>
        </w:rPr>
        <w:t xml:space="preserve">,, </w:t>
      </w:r>
      <w:r w:rsidRPr="006811C9">
        <w:rPr>
          <w:b/>
          <w:bCs/>
          <w:color w:val="auto"/>
        </w:rPr>
        <w:t xml:space="preserve">3a) </w:t>
      </w:r>
      <w:r w:rsidRPr="006811C9">
        <w:rPr>
          <w:color w:val="auto"/>
        </w:rPr>
        <w:t xml:space="preserve"> możliwości stosowania środków poprawy efektywności energetycznej w rozumieniu art. 6 ust. 2 ustawy z dnia 20 maja 2016 r. o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10) </w:t>
      </w:r>
      <w:r w:rsidRPr="006811C9">
        <w:rPr>
          <w:color w:val="auto"/>
        </w:rPr>
        <w:t xml:space="preserve"> w art. 20 w ust. 2: </w:t>
      </w:r>
    </w:p>
    <w:p w:rsidR="007F0E70" w:rsidRPr="006811C9" w:rsidRDefault="007F0E70">
      <w:pPr>
        <w:pStyle w:val="divpkt"/>
        <w:rPr>
          <w:color w:val="auto"/>
        </w:rPr>
      </w:pPr>
      <w:r w:rsidRPr="006811C9">
        <w:rPr>
          <w:b/>
          <w:bCs/>
          <w:color w:val="auto"/>
        </w:rPr>
        <w:t xml:space="preserve"> a) </w:t>
      </w:r>
      <w:r w:rsidRPr="006811C9">
        <w:rPr>
          <w:color w:val="auto"/>
        </w:rPr>
        <w:t xml:space="preserve"> </w:t>
      </w:r>
      <w:proofErr w:type="spellStart"/>
      <w:r w:rsidRPr="006811C9">
        <w:rPr>
          <w:color w:val="auto"/>
        </w:rPr>
        <w:t>pkt</w:t>
      </w:r>
      <w:proofErr w:type="spellEnd"/>
      <w:r w:rsidRPr="006811C9">
        <w:rPr>
          <w:color w:val="auto"/>
        </w:rPr>
        <w:t xml:space="preserve"> 1b otrzymuje brzmienie: </w:t>
      </w:r>
    </w:p>
    <w:p w:rsidR="007F0E70" w:rsidRPr="006811C9" w:rsidRDefault="007F0E70">
      <w:pPr>
        <w:pStyle w:val="divquotblock"/>
        <w:rPr>
          <w:rFonts w:ascii="Times New Roman" w:hAnsi="Times New Roman" w:cs="Times New Roman"/>
          <w:color w:val="auto"/>
          <w:sz w:val="24"/>
          <w:szCs w:val="24"/>
        </w:rPr>
      </w:pPr>
    </w:p>
    <w:p w:rsidR="007F0E70" w:rsidRPr="006811C9" w:rsidRDefault="007F0E70">
      <w:pPr>
        <w:pStyle w:val="divpkt"/>
        <w:rPr>
          <w:color w:val="auto"/>
        </w:rPr>
      </w:pPr>
      <w:r w:rsidRPr="006811C9">
        <w:rPr>
          <w:color w:val="auto"/>
        </w:rPr>
        <w:t xml:space="preserve">,, </w:t>
      </w:r>
      <w:r w:rsidRPr="006811C9">
        <w:rPr>
          <w:b/>
          <w:bCs/>
          <w:color w:val="auto"/>
        </w:rPr>
        <w:t xml:space="preserve">1b) </w:t>
      </w:r>
      <w:r w:rsidRPr="006811C9">
        <w:rPr>
          <w:color w:val="auto"/>
        </w:rPr>
        <w:t xml:space="preserve"> propozycje stosowania środków poprawy efektywności energetycznej w rozumieniu art. 6 ust. 2 ustawy z dnia 20 maja 2016 r. o efektywności energetycznej; ",</w:t>
      </w:r>
    </w:p>
    <w:p w:rsidR="007F0E70" w:rsidRPr="006811C9" w:rsidRDefault="007F0E70">
      <w:pPr>
        <w:pStyle w:val="divpkt"/>
        <w:rPr>
          <w:color w:val="auto"/>
        </w:rPr>
      </w:pPr>
      <w:r w:rsidRPr="006811C9">
        <w:rPr>
          <w:b/>
          <w:bCs/>
          <w:color w:val="auto"/>
        </w:rPr>
        <w:t xml:space="preserve"> b) </w:t>
      </w:r>
      <w:r w:rsidRPr="006811C9">
        <w:rPr>
          <w:color w:val="auto"/>
        </w:rPr>
        <w:t xml:space="preserve"> w </w:t>
      </w:r>
      <w:proofErr w:type="spellStart"/>
      <w:r w:rsidRPr="006811C9">
        <w:rPr>
          <w:color w:val="auto"/>
        </w:rPr>
        <w:t>pkt</w:t>
      </w:r>
      <w:proofErr w:type="spellEnd"/>
      <w:r w:rsidRPr="006811C9">
        <w:rPr>
          <w:color w:val="auto"/>
        </w:rPr>
        <w:t xml:space="preserve"> 3 kropkę zastępuje się średnikiem i dodaje się </w:t>
      </w:r>
      <w:proofErr w:type="spellStart"/>
      <w:r w:rsidRPr="006811C9">
        <w:rPr>
          <w:color w:val="auto"/>
        </w:rPr>
        <w:t>pkt</w:t>
      </w:r>
      <w:proofErr w:type="spellEnd"/>
      <w:r w:rsidRPr="006811C9">
        <w:rPr>
          <w:color w:val="auto"/>
        </w:rPr>
        <w:t xml:space="preserve"> 4 w brzmieniu: </w:t>
      </w:r>
    </w:p>
    <w:p w:rsidR="007F0E70" w:rsidRPr="006811C9" w:rsidRDefault="007F0E70">
      <w:pPr>
        <w:pStyle w:val="divquotblock"/>
        <w:rPr>
          <w:rFonts w:ascii="Times New Roman" w:hAnsi="Times New Roman" w:cs="Times New Roman"/>
          <w:color w:val="auto"/>
          <w:sz w:val="24"/>
          <w:szCs w:val="24"/>
        </w:rPr>
      </w:pPr>
    </w:p>
    <w:p w:rsidR="007F0E70" w:rsidRPr="006811C9" w:rsidRDefault="007F0E70">
      <w:pPr>
        <w:pStyle w:val="divpkt"/>
        <w:rPr>
          <w:color w:val="auto"/>
        </w:rPr>
      </w:pPr>
      <w:r w:rsidRPr="006811C9">
        <w:rPr>
          <w:color w:val="auto"/>
        </w:rPr>
        <w:t xml:space="preserve">,, </w:t>
      </w:r>
      <w:r w:rsidRPr="006811C9">
        <w:rPr>
          <w:b/>
          <w:bCs/>
          <w:color w:val="auto"/>
        </w:rPr>
        <w:t xml:space="preserve">4) </w:t>
      </w:r>
      <w:r w:rsidRPr="006811C9">
        <w:rPr>
          <w:color w:val="auto"/>
        </w:rPr>
        <w:t xml:space="preserve"> ocenę potencjału wytwarzania energii elektrycznej w wysokosprawnej </w:t>
      </w:r>
      <w:proofErr w:type="spellStart"/>
      <w:r w:rsidRPr="006811C9">
        <w:rPr>
          <w:color w:val="auto"/>
        </w:rPr>
        <w:t>kogeneracji</w:t>
      </w:r>
      <w:proofErr w:type="spellEnd"/>
      <w:r w:rsidRPr="006811C9">
        <w:rPr>
          <w:color w:val="auto"/>
        </w:rPr>
        <w:t xml:space="preserve"> oraz efektywnych energetycznie systemów ciepłowniczych lub chłodniczych na obszarze gminy.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11) </w:t>
      </w:r>
      <w:r w:rsidRPr="006811C9">
        <w:rPr>
          <w:color w:val="auto"/>
        </w:rPr>
        <w:t xml:space="preserve"> w art. 45 po ust. 1d dodaje się ust. 1e w brzmieniu: </w:t>
      </w:r>
    </w:p>
    <w:p w:rsidR="007F0E70" w:rsidRPr="006811C9" w:rsidRDefault="007F0E70">
      <w:pPr>
        <w:pStyle w:val="divquotblock"/>
        <w:rPr>
          <w:color w:val="auto"/>
        </w:rPr>
      </w:pPr>
      <w:r w:rsidRPr="006811C9">
        <w:rPr>
          <w:color w:val="auto"/>
        </w:rPr>
        <w:t xml:space="preserve"> 1e. W kosztach działalności przedsiębiorstw energetycznych zajmujących się obrotem energią elektryczną, paliwami gazowymi lub sprzedażą ciepła odbiorcom końcowym uwzględnia się koszty realizacji obowiązku, o którym mowa w art. 10 ust. 1 ustawy z dnia 20 maja 2016 r. o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12) </w:t>
      </w:r>
      <w:r w:rsidRPr="006811C9">
        <w:rPr>
          <w:color w:val="auto"/>
        </w:rPr>
        <w:t xml:space="preserve"> w art. 45a: </w:t>
      </w:r>
    </w:p>
    <w:p w:rsidR="007F0E70" w:rsidRPr="006811C9" w:rsidRDefault="007F0E70">
      <w:pPr>
        <w:pStyle w:val="divpkt"/>
        <w:rPr>
          <w:color w:val="auto"/>
        </w:rPr>
      </w:pPr>
      <w:r w:rsidRPr="006811C9">
        <w:rPr>
          <w:b/>
          <w:bCs/>
          <w:color w:val="auto"/>
        </w:rPr>
        <w:t xml:space="preserve"> a) </w:t>
      </w:r>
      <w:r w:rsidRPr="006811C9">
        <w:rPr>
          <w:color w:val="auto"/>
        </w:rPr>
        <w:t xml:space="preserve"> ust. 7 otrzymuje brzmienie: </w:t>
      </w:r>
    </w:p>
    <w:p w:rsidR="007F0E70" w:rsidRPr="006811C9" w:rsidRDefault="007F0E70">
      <w:pPr>
        <w:pStyle w:val="divquotblock"/>
        <w:rPr>
          <w:color w:val="auto"/>
        </w:rPr>
      </w:pPr>
      <w:r w:rsidRPr="006811C9">
        <w:rPr>
          <w:color w:val="auto"/>
        </w:rPr>
        <w:t xml:space="preserve"> 7. Jeżeli miejsce zainstalowania układu pomiarowo-rozliczeniowego służącego do rozliczeń kosztów zakupu ciepła jest wspólne dla dwóch lub więcej budynków </w:t>
      </w:r>
      <w:proofErr w:type="spellStart"/>
      <w:r w:rsidRPr="006811C9">
        <w:rPr>
          <w:color w:val="auto"/>
        </w:rPr>
        <w:t>wielolokalowych</w:t>
      </w:r>
      <w:proofErr w:type="spellEnd"/>
      <w:r w:rsidRPr="006811C9">
        <w:rPr>
          <w:color w:val="auto"/>
        </w:rPr>
        <w:t xml:space="preserve"> albo dwóch lub więcej grup lokali lub lokali, właściciele lub zarządcy tych budynków lub lokali są obowiązani wyposażyć: </w:t>
      </w:r>
    </w:p>
    <w:p w:rsidR="007F0E70" w:rsidRPr="006811C9" w:rsidRDefault="007F0E70">
      <w:pPr>
        <w:pStyle w:val="divpkt"/>
        <w:rPr>
          <w:color w:val="auto"/>
        </w:rPr>
      </w:pPr>
      <w:r w:rsidRPr="006811C9">
        <w:rPr>
          <w:b/>
          <w:bCs/>
          <w:color w:val="auto"/>
        </w:rPr>
        <w:t xml:space="preserve">1) </w:t>
      </w:r>
      <w:r w:rsidRPr="006811C9">
        <w:rPr>
          <w:color w:val="auto"/>
        </w:rPr>
        <w:t xml:space="preserve"> budynki te i grupy lokali w ciepłomierze; </w:t>
      </w:r>
    </w:p>
    <w:p w:rsidR="007F0E70" w:rsidRPr="006811C9" w:rsidRDefault="007F0E70">
      <w:pPr>
        <w:pStyle w:val="divpkt"/>
        <w:rPr>
          <w:color w:val="auto"/>
        </w:rPr>
      </w:pPr>
      <w:r w:rsidRPr="006811C9">
        <w:rPr>
          <w:b/>
          <w:bCs/>
          <w:color w:val="auto"/>
        </w:rPr>
        <w:t xml:space="preserve">2) </w:t>
      </w:r>
      <w:r w:rsidRPr="006811C9">
        <w:rPr>
          <w:color w:val="auto"/>
        </w:rPr>
        <w:t xml:space="preserve"> lokale, tam gdzie jest to technicznie wykonalne i opłacalne, w ciepłomierze lub wodomierze ciepłej wody użytkowej. </w:t>
      </w:r>
    </w:p>
    <w:p w:rsidR="007F0E70" w:rsidRPr="006811C9" w:rsidRDefault="007F0E70">
      <w:pPr>
        <w:pStyle w:val="divpkt"/>
        <w:rPr>
          <w:color w:val="auto"/>
        </w:rPr>
      </w:pPr>
      <w:r w:rsidRPr="006811C9">
        <w:rPr>
          <w:b/>
          <w:bCs/>
          <w:color w:val="auto"/>
        </w:rPr>
        <w:t xml:space="preserve"> b) </w:t>
      </w:r>
      <w:r w:rsidRPr="006811C9">
        <w:rPr>
          <w:color w:val="auto"/>
        </w:rPr>
        <w:t xml:space="preserve"> w ust. 8 w </w:t>
      </w:r>
      <w:proofErr w:type="spellStart"/>
      <w:r w:rsidRPr="006811C9">
        <w:rPr>
          <w:color w:val="auto"/>
        </w:rPr>
        <w:t>pkt</w:t>
      </w:r>
      <w:proofErr w:type="spellEnd"/>
      <w:r w:rsidRPr="006811C9">
        <w:rPr>
          <w:color w:val="auto"/>
        </w:rPr>
        <w:t xml:space="preserve"> 1 lit. a otrzymuje brzmienie: </w:t>
      </w:r>
    </w:p>
    <w:p w:rsidR="007F0E70" w:rsidRPr="006811C9" w:rsidRDefault="007F0E70">
      <w:pPr>
        <w:pStyle w:val="divquotblock"/>
        <w:rPr>
          <w:rFonts w:ascii="Times New Roman" w:hAnsi="Times New Roman" w:cs="Times New Roman"/>
          <w:color w:val="auto"/>
          <w:sz w:val="24"/>
          <w:szCs w:val="24"/>
        </w:rPr>
      </w:pPr>
    </w:p>
    <w:p w:rsidR="007F0E70" w:rsidRPr="006811C9" w:rsidRDefault="007F0E70">
      <w:pPr>
        <w:pStyle w:val="divpkt"/>
        <w:rPr>
          <w:color w:val="auto"/>
        </w:rPr>
      </w:pPr>
      <w:r w:rsidRPr="006811C9">
        <w:rPr>
          <w:color w:val="auto"/>
        </w:rPr>
        <w:t xml:space="preserve">,, </w:t>
      </w:r>
      <w:r w:rsidRPr="006811C9">
        <w:rPr>
          <w:b/>
          <w:bCs/>
          <w:color w:val="auto"/>
        </w:rPr>
        <w:t xml:space="preserve">a) </w:t>
      </w:r>
      <w:r w:rsidRPr="006811C9">
        <w:rPr>
          <w:color w:val="auto"/>
        </w:rPr>
        <w:t xml:space="preserve"> dla lokali mieszkalnych i użytkowych: </w:t>
      </w:r>
    </w:p>
    <w:p w:rsidR="007F0E70" w:rsidRPr="006811C9" w:rsidRDefault="007F0E70">
      <w:pPr>
        <w:pStyle w:val="divpkt"/>
        <w:rPr>
          <w:color w:val="auto"/>
        </w:rPr>
      </w:pPr>
      <w:r w:rsidRPr="006811C9">
        <w:rPr>
          <w:b/>
          <w:bCs/>
          <w:color w:val="auto"/>
        </w:rPr>
        <w:t xml:space="preserve"> - </w:t>
      </w:r>
      <w:r w:rsidRPr="006811C9">
        <w:rPr>
          <w:color w:val="auto"/>
        </w:rPr>
        <w:t xml:space="preserve"> wskazania ciepłomierzy, </w:t>
      </w:r>
    </w:p>
    <w:p w:rsidR="007F0E70" w:rsidRPr="006811C9" w:rsidRDefault="007F0E70">
      <w:pPr>
        <w:pStyle w:val="divpkt"/>
        <w:rPr>
          <w:color w:val="auto"/>
        </w:rPr>
      </w:pPr>
      <w:r w:rsidRPr="006811C9">
        <w:rPr>
          <w:b/>
          <w:bCs/>
          <w:color w:val="auto"/>
        </w:rPr>
        <w:t xml:space="preserve"> - </w:t>
      </w:r>
      <w:r w:rsidRPr="006811C9">
        <w:rPr>
          <w:color w:val="auto"/>
        </w:rPr>
        <w:t xml:space="preserve"> wskazania urządzeń umożliwiających indywidualne rozliczenie kosztów, niebędących przyrządami pomiarowymi w rozumieniu przepisów metrologicznych, </w:t>
      </w:r>
    </w:p>
    <w:p w:rsidR="007F0E70" w:rsidRPr="006811C9" w:rsidRDefault="007F0E70">
      <w:pPr>
        <w:pStyle w:val="divpkt"/>
        <w:rPr>
          <w:color w:val="auto"/>
        </w:rPr>
      </w:pPr>
      <w:r w:rsidRPr="006811C9">
        <w:rPr>
          <w:b/>
          <w:bCs/>
          <w:color w:val="auto"/>
        </w:rPr>
        <w:t xml:space="preserve"> - </w:t>
      </w:r>
      <w:r w:rsidRPr="006811C9">
        <w:rPr>
          <w:color w:val="auto"/>
        </w:rPr>
        <w:t xml:space="preserve"> powierzchnię lub kubaturę tych lokali, ",</w:t>
      </w:r>
    </w:p>
    <w:p w:rsidR="007F0E70" w:rsidRPr="006811C9" w:rsidRDefault="007F0E70">
      <w:pPr>
        <w:pStyle w:val="divpkt"/>
        <w:rPr>
          <w:color w:val="auto"/>
        </w:rPr>
      </w:pPr>
      <w:r w:rsidRPr="006811C9">
        <w:rPr>
          <w:b/>
          <w:bCs/>
          <w:color w:val="auto"/>
        </w:rPr>
        <w:t xml:space="preserve"> c) </w:t>
      </w:r>
      <w:r w:rsidRPr="006811C9">
        <w:rPr>
          <w:color w:val="auto"/>
        </w:rPr>
        <w:t xml:space="preserve"> ust. 9 otrzymuje brzmienie: </w:t>
      </w:r>
    </w:p>
    <w:p w:rsidR="007F0E70" w:rsidRPr="006811C9" w:rsidRDefault="007F0E70">
      <w:pPr>
        <w:pStyle w:val="divquotblock"/>
        <w:rPr>
          <w:color w:val="auto"/>
        </w:rPr>
      </w:pPr>
      <w:r w:rsidRPr="006811C9">
        <w:rPr>
          <w:color w:val="auto"/>
        </w:rPr>
        <w:t xml:space="preserve"> 9. Właściciel lub zarządca budynku </w:t>
      </w:r>
      <w:proofErr w:type="spellStart"/>
      <w:r w:rsidRPr="006811C9">
        <w:rPr>
          <w:color w:val="auto"/>
        </w:rPr>
        <w:t>wielolokalowego</w:t>
      </w:r>
      <w:proofErr w:type="spellEnd"/>
      <w:r w:rsidRPr="006811C9">
        <w:rPr>
          <w:color w:val="auto"/>
        </w:rPr>
        <w:t xml:space="preserve"> dokonuje wyboru metody rozliczania całkowitych kosztów zakupu ciepła na poszczególne lokale mieszkalne i użytkowe w tym budynku, tak aby wybrana metoda: </w:t>
      </w:r>
    </w:p>
    <w:p w:rsidR="007F0E70" w:rsidRPr="006811C9" w:rsidRDefault="007F0E70">
      <w:pPr>
        <w:pStyle w:val="divpkt"/>
        <w:rPr>
          <w:color w:val="auto"/>
        </w:rPr>
      </w:pPr>
      <w:r w:rsidRPr="006811C9">
        <w:rPr>
          <w:b/>
          <w:bCs/>
          <w:color w:val="auto"/>
        </w:rPr>
        <w:t xml:space="preserve">1) </w:t>
      </w:r>
      <w:r w:rsidRPr="006811C9">
        <w:rPr>
          <w:color w:val="auto"/>
        </w:rPr>
        <w:t xml:space="preserve"> zapewniała: </w:t>
      </w:r>
    </w:p>
    <w:p w:rsidR="007F0E70" w:rsidRPr="006811C9" w:rsidRDefault="007F0E70">
      <w:pPr>
        <w:pStyle w:val="divpkt"/>
        <w:rPr>
          <w:color w:val="auto"/>
        </w:rPr>
      </w:pPr>
      <w:r w:rsidRPr="006811C9">
        <w:rPr>
          <w:b/>
          <w:bCs/>
          <w:color w:val="auto"/>
        </w:rPr>
        <w:t xml:space="preserve"> a) </w:t>
      </w:r>
      <w:r w:rsidRPr="006811C9">
        <w:rPr>
          <w:color w:val="auto"/>
        </w:rPr>
        <w:t xml:space="preserve"> energooszczędne zachowania, </w:t>
      </w:r>
    </w:p>
    <w:p w:rsidR="007F0E70" w:rsidRPr="006811C9" w:rsidRDefault="007F0E70">
      <w:pPr>
        <w:pStyle w:val="divpkt"/>
        <w:rPr>
          <w:color w:val="auto"/>
        </w:rPr>
      </w:pPr>
      <w:r w:rsidRPr="006811C9">
        <w:rPr>
          <w:b/>
          <w:bCs/>
          <w:color w:val="auto"/>
        </w:rPr>
        <w:t xml:space="preserve"> b) </w:t>
      </w:r>
      <w:r w:rsidRPr="006811C9">
        <w:rPr>
          <w:color w:val="auto"/>
        </w:rPr>
        <w:t xml:space="preserve"> zachowanie prawidłowych warunków eksploatacji budynku i lokali w zakresie temperatury i wentylacji, określonych w przepisach prawa budowlanego, lub </w:t>
      </w:r>
    </w:p>
    <w:p w:rsidR="007F0E70" w:rsidRPr="006811C9" w:rsidRDefault="007F0E70">
      <w:pPr>
        <w:pStyle w:val="divpkt"/>
        <w:rPr>
          <w:color w:val="auto"/>
        </w:rPr>
      </w:pPr>
      <w:r w:rsidRPr="006811C9">
        <w:rPr>
          <w:b/>
          <w:bCs/>
          <w:color w:val="auto"/>
        </w:rPr>
        <w:t xml:space="preserve"> c) </w:t>
      </w:r>
      <w:r w:rsidRPr="006811C9">
        <w:rPr>
          <w:color w:val="auto"/>
        </w:rPr>
        <w:t xml:space="preserve"> ustalanie opłat za zakupione ciepło w sposób odpowiadający zużyciu ciepła na ogrzewanie i przygotowanie ciepłej wody użytkowej; </w:t>
      </w:r>
    </w:p>
    <w:p w:rsidR="007F0E70" w:rsidRPr="006811C9" w:rsidRDefault="007F0E70">
      <w:pPr>
        <w:pStyle w:val="divpkt"/>
        <w:rPr>
          <w:color w:val="auto"/>
        </w:rPr>
      </w:pPr>
      <w:r w:rsidRPr="006811C9">
        <w:rPr>
          <w:b/>
          <w:bCs/>
          <w:color w:val="auto"/>
        </w:rPr>
        <w:t xml:space="preserve">2) </w:t>
      </w:r>
      <w:r w:rsidRPr="006811C9">
        <w:rPr>
          <w:color w:val="auto"/>
        </w:rPr>
        <w:t xml:space="preserve"> w zależności od warunków technicznych budynków i lokali uwzględniała: </w:t>
      </w:r>
    </w:p>
    <w:p w:rsidR="007F0E70" w:rsidRPr="006811C9" w:rsidRDefault="007F0E70">
      <w:pPr>
        <w:pStyle w:val="divpkt"/>
        <w:rPr>
          <w:color w:val="auto"/>
        </w:rPr>
      </w:pPr>
      <w:r w:rsidRPr="006811C9">
        <w:rPr>
          <w:b/>
          <w:bCs/>
          <w:color w:val="auto"/>
        </w:rPr>
        <w:t xml:space="preserve"> a) </w:t>
      </w:r>
      <w:r w:rsidRPr="006811C9">
        <w:rPr>
          <w:color w:val="auto"/>
        </w:rPr>
        <w:t xml:space="preserve"> ilość ciepła dostarczanego do lokalu z pionów grzewczych lub przenikania między lokalami oszacowanego w szczególności na podstawie rejestracji temperatury powietrza w lokalu, jeżeli jest to technicznie możliwe i ekonomicznie uzasadnione, </w:t>
      </w:r>
    </w:p>
    <w:p w:rsidR="007F0E70" w:rsidRPr="006811C9" w:rsidRDefault="007F0E70">
      <w:pPr>
        <w:pStyle w:val="divpkt"/>
        <w:rPr>
          <w:color w:val="auto"/>
        </w:rPr>
      </w:pPr>
      <w:r w:rsidRPr="006811C9">
        <w:rPr>
          <w:b/>
          <w:bCs/>
          <w:color w:val="auto"/>
        </w:rPr>
        <w:t xml:space="preserve"> b) </w:t>
      </w:r>
      <w:r w:rsidRPr="006811C9">
        <w:rPr>
          <w:color w:val="auto"/>
        </w:rPr>
        <w:t xml:space="preserve"> współczynniki wyrównawcze zużycia ciepła na ogrzewanie, wynikające z położenia lokalu w bryle budynku. </w:t>
      </w:r>
    </w:p>
    <w:p w:rsidR="007F0E70" w:rsidRPr="006811C9" w:rsidRDefault="007F0E70">
      <w:pPr>
        <w:pStyle w:val="divpkt"/>
        <w:rPr>
          <w:color w:val="auto"/>
        </w:rPr>
      </w:pPr>
      <w:r w:rsidRPr="006811C9">
        <w:rPr>
          <w:b/>
          <w:bCs/>
          <w:color w:val="auto"/>
        </w:rPr>
        <w:t xml:space="preserve"> d) </w:t>
      </w:r>
      <w:r w:rsidRPr="006811C9">
        <w:rPr>
          <w:color w:val="auto"/>
        </w:rPr>
        <w:t xml:space="preserve"> po ust. 11 dodaje się ust. 11a w brzmieniu: </w:t>
      </w:r>
    </w:p>
    <w:p w:rsidR="007F0E70" w:rsidRPr="006811C9" w:rsidRDefault="007F0E70">
      <w:pPr>
        <w:pStyle w:val="divquotblock"/>
        <w:rPr>
          <w:color w:val="auto"/>
        </w:rPr>
      </w:pPr>
      <w:r w:rsidRPr="006811C9">
        <w:rPr>
          <w:color w:val="auto"/>
        </w:rPr>
        <w:t xml:space="preserve"> 11a. Jeżeli użytkownik lokalu nie udostępni właścicielowi lub zarządcy budynku ciepłomierzy, wodomierzy lub urządzeń umożliwiających indywidualne rozliczenie kosztów, niebędących przyrządami pomiarowymi w rozumieniu przepisów metrologicznych, w celu dokonania ich odczytu albo użytkownik lokalu dokona ingerencji w ten przyrząd lub urządzenie w celu zafałszowania jego pomiarów lub wskazań, właściciel lub zarządca budynku może: </w:t>
      </w:r>
    </w:p>
    <w:p w:rsidR="007F0E70" w:rsidRPr="006811C9" w:rsidRDefault="007F0E70">
      <w:pPr>
        <w:pStyle w:val="divpkt"/>
        <w:rPr>
          <w:color w:val="auto"/>
        </w:rPr>
      </w:pPr>
      <w:r w:rsidRPr="006811C9">
        <w:rPr>
          <w:b/>
          <w:bCs/>
          <w:color w:val="auto"/>
        </w:rPr>
        <w:t xml:space="preserve">1) </w:t>
      </w:r>
      <w:r w:rsidRPr="006811C9">
        <w:rPr>
          <w:color w:val="auto"/>
        </w:rPr>
        <w:t xml:space="preserve"> dochodzić od użytkownika tego lokalu odszkodowania albo </w:t>
      </w:r>
    </w:p>
    <w:p w:rsidR="007F0E70" w:rsidRPr="006811C9" w:rsidRDefault="007F0E70">
      <w:pPr>
        <w:pStyle w:val="divpkt"/>
        <w:rPr>
          <w:color w:val="auto"/>
        </w:rPr>
      </w:pPr>
      <w:r w:rsidRPr="006811C9">
        <w:rPr>
          <w:b/>
          <w:bCs/>
          <w:color w:val="auto"/>
        </w:rPr>
        <w:t xml:space="preserve">2) </w:t>
      </w:r>
      <w:r w:rsidRPr="006811C9">
        <w:rPr>
          <w:color w:val="auto"/>
        </w:rPr>
        <w:t xml:space="preserve"> obciążyć użytkownika tego lokalu, w okresie rozliczeniowym, kosztami ogrzewania w wysokości nie wyższej niż iloczyn średniej wartości kosztów ogrzewania: </w:t>
      </w:r>
    </w:p>
    <w:p w:rsidR="007F0E70" w:rsidRPr="006811C9" w:rsidRDefault="007F0E70">
      <w:pPr>
        <w:pStyle w:val="divpkt"/>
        <w:rPr>
          <w:color w:val="auto"/>
        </w:rPr>
      </w:pPr>
      <w:r w:rsidRPr="006811C9">
        <w:rPr>
          <w:b/>
          <w:bCs/>
          <w:color w:val="auto"/>
        </w:rPr>
        <w:t xml:space="preserve"> a) </w:t>
      </w:r>
      <w:r w:rsidRPr="006811C9">
        <w:rPr>
          <w:color w:val="auto"/>
        </w:rPr>
        <w:t xml:space="preserve"> m</w:t>
      </w:r>
      <w:r w:rsidRPr="006811C9">
        <w:rPr>
          <w:color w:val="auto"/>
          <w:vertAlign w:val="superscript"/>
        </w:rPr>
        <w:t>3</w:t>
      </w:r>
      <w:r w:rsidRPr="006811C9">
        <w:rPr>
          <w:color w:val="auto"/>
        </w:rPr>
        <w:t xml:space="preserve"> kubatury budynku </w:t>
      </w:r>
      <w:proofErr w:type="spellStart"/>
      <w:r w:rsidRPr="006811C9">
        <w:rPr>
          <w:color w:val="auto"/>
        </w:rPr>
        <w:t>wielolokalowego</w:t>
      </w:r>
      <w:proofErr w:type="spellEnd"/>
      <w:r w:rsidRPr="006811C9">
        <w:rPr>
          <w:color w:val="auto"/>
        </w:rPr>
        <w:t xml:space="preserve"> i kubatury lokalu użytkowanego albo </w:t>
      </w:r>
    </w:p>
    <w:p w:rsidR="007F0E70" w:rsidRPr="006811C9" w:rsidRDefault="007F0E70">
      <w:pPr>
        <w:pStyle w:val="divpkt"/>
        <w:rPr>
          <w:color w:val="auto"/>
        </w:rPr>
      </w:pPr>
      <w:r w:rsidRPr="006811C9">
        <w:rPr>
          <w:b/>
          <w:bCs/>
          <w:color w:val="auto"/>
        </w:rPr>
        <w:t xml:space="preserve"> b) </w:t>
      </w:r>
      <w:r w:rsidRPr="006811C9">
        <w:rPr>
          <w:color w:val="auto"/>
        </w:rPr>
        <w:t xml:space="preserve"> m</w:t>
      </w:r>
      <w:r w:rsidRPr="006811C9">
        <w:rPr>
          <w:color w:val="auto"/>
          <w:vertAlign w:val="superscript"/>
        </w:rPr>
        <w:t>2</w:t>
      </w:r>
      <w:r w:rsidRPr="006811C9">
        <w:rPr>
          <w:color w:val="auto"/>
        </w:rPr>
        <w:t xml:space="preserve"> powierzchni budynku </w:t>
      </w:r>
      <w:proofErr w:type="spellStart"/>
      <w:r w:rsidRPr="006811C9">
        <w:rPr>
          <w:color w:val="auto"/>
        </w:rPr>
        <w:t>wielolokalowego</w:t>
      </w:r>
      <w:proofErr w:type="spellEnd"/>
      <w:r w:rsidRPr="006811C9">
        <w:rPr>
          <w:color w:val="auto"/>
        </w:rPr>
        <w:t xml:space="preserve"> i powierzchni lokalu użytkowanego. </w:t>
      </w:r>
    </w:p>
    <w:p w:rsidR="007F0E70" w:rsidRPr="006811C9" w:rsidRDefault="007F0E70">
      <w:pPr>
        <w:pStyle w:val="divpkt"/>
        <w:rPr>
          <w:color w:val="auto"/>
        </w:rPr>
      </w:pPr>
      <w:r w:rsidRPr="006811C9">
        <w:rPr>
          <w:b/>
          <w:bCs/>
          <w:color w:val="auto"/>
        </w:rPr>
        <w:t xml:space="preserve"> e) </w:t>
      </w:r>
      <w:r w:rsidRPr="006811C9">
        <w:rPr>
          <w:color w:val="auto"/>
        </w:rPr>
        <w:t xml:space="preserve"> dodaje się ust. 13 w brzmieniu: </w:t>
      </w:r>
    </w:p>
    <w:p w:rsidR="007F0E70" w:rsidRPr="006811C9" w:rsidRDefault="007F0E70">
      <w:pPr>
        <w:pStyle w:val="divquotblock"/>
        <w:rPr>
          <w:color w:val="auto"/>
        </w:rPr>
      </w:pPr>
      <w:r w:rsidRPr="006811C9">
        <w:rPr>
          <w:color w:val="auto"/>
        </w:rPr>
        <w:t xml:space="preserve"> 13. W przypadku gdy ilość ciepła dostarczonego do budynku </w:t>
      </w:r>
      <w:proofErr w:type="spellStart"/>
      <w:r w:rsidRPr="006811C9">
        <w:rPr>
          <w:color w:val="auto"/>
        </w:rPr>
        <w:t>wielolokalowego</w:t>
      </w:r>
      <w:proofErr w:type="spellEnd"/>
      <w:r w:rsidRPr="006811C9">
        <w:rPr>
          <w:color w:val="auto"/>
        </w:rPr>
        <w:t xml:space="preserve"> w ciągu kolejnych 12 miesięcy przekracza 0,40 GJ w odniesieniu do m</w:t>
      </w:r>
      <w:r w:rsidRPr="006811C9">
        <w:rPr>
          <w:color w:val="auto"/>
          <w:vertAlign w:val="superscript"/>
        </w:rPr>
        <w:t>3</w:t>
      </w:r>
      <w:r w:rsidRPr="006811C9">
        <w:rPr>
          <w:color w:val="auto"/>
        </w:rPr>
        <w:t xml:space="preserve"> ogrzewanej kubatury budynku lub 0,30 GJ w odniesieniu do m</w:t>
      </w:r>
      <w:r w:rsidRPr="006811C9">
        <w:rPr>
          <w:color w:val="auto"/>
          <w:vertAlign w:val="superscript"/>
        </w:rPr>
        <w:t>3</w:t>
      </w:r>
      <w:r w:rsidRPr="006811C9">
        <w:rPr>
          <w:color w:val="auto"/>
        </w:rPr>
        <w:t xml:space="preserve"> przygotowanej ciepłej wody, właściciel lub zarządca budynku wykonuje audyt energetyczny tego budynku w celu określenia przyczyn nadmiernej energochłonności i wskazania sposobów ograniczenia zużycia ciepła przez ten budynek lub zmiany zamówionej mocy cieplnej. </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44 </w:t>
      </w:r>
      <w:r w:rsidRPr="006811C9">
        <w:rPr>
          <w:color w:val="auto"/>
        </w:rPr>
        <w:t>W ustawie z dnia 26 października 2000 r. o giełdach towarowych (</w:t>
      </w:r>
      <w:proofErr w:type="spellStart"/>
      <w:r w:rsidRPr="006811C9">
        <w:rPr>
          <w:color w:val="auto"/>
        </w:rPr>
        <w:t>Dz.U</w:t>
      </w:r>
      <w:proofErr w:type="spellEnd"/>
      <w:r w:rsidRPr="006811C9">
        <w:rPr>
          <w:color w:val="auto"/>
        </w:rPr>
        <w:t xml:space="preserve">. z 2016 r. poz. 719) w art. 2 w </w:t>
      </w:r>
      <w:proofErr w:type="spellStart"/>
      <w:r w:rsidRPr="006811C9">
        <w:rPr>
          <w:color w:val="auto"/>
        </w:rPr>
        <w:t>pkt</w:t>
      </w:r>
      <w:proofErr w:type="spellEnd"/>
      <w:r w:rsidRPr="006811C9">
        <w:rPr>
          <w:color w:val="auto"/>
        </w:rPr>
        <w:t xml:space="preserve"> 2 lit. f otrzymuje brzmienie: </w:t>
      </w:r>
    </w:p>
    <w:p w:rsidR="007F0E70" w:rsidRPr="006811C9" w:rsidRDefault="007F0E70">
      <w:pPr>
        <w:pStyle w:val="divquotblock"/>
        <w:rPr>
          <w:rFonts w:ascii="Times New Roman" w:hAnsi="Times New Roman" w:cs="Times New Roman"/>
          <w:color w:val="auto"/>
          <w:sz w:val="24"/>
          <w:szCs w:val="24"/>
        </w:rPr>
      </w:pPr>
    </w:p>
    <w:p w:rsidR="007F0E70" w:rsidRPr="006811C9" w:rsidRDefault="007F0E70">
      <w:pPr>
        <w:pStyle w:val="divpkt"/>
        <w:rPr>
          <w:color w:val="auto"/>
        </w:rPr>
      </w:pPr>
      <w:r w:rsidRPr="006811C9">
        <w:rPr>
          <w:color w:val="auto"/>
        </w:rPr>
        <w:t xml:space="preserve">,, </w:t>
      </w:r>
      <w:r w:rsidRPr="006811C9">
        <w:rPr>
          <w:b/>
          <w:bCs/>
          <w:color w:val="auto"/>
        </w:rPr>
        <w:t xml:space="preserve">f) </w:t>
      </w:r>
      <w:r w:rsidRPr="006811C9">
        <w:rPr>
          <w:color w:val="auto"/>
        </w:rPr>
        <w:t xml:space="preserve"> prawa majątkowe wynikające ze świadectwa efektywności energetycznej, o których mowa w przepisach dotyczących efektywności energetycznej; ".</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45 </w:t>
      </w:r>
      <w:r w:rsidRPr="006811C9">
        <w:rPr>
          <w:color w:val="auto"/>
        </w:rPr>
        <w:t>W ustawie z dnia 27 kwietnia 2001 r. - Prawo ochrony środowiska (</w:t>
      </w:r>
      <w:proofErr w:type="spellStart"/>
      <w:r w:rsidRPr="006811C9">
        <w:rPr>
          <w:color w:val="auto"/>
        </w:rPr>
        <w:t>Dz.U</w:t>
      </w:r>
      <w:proofErr w:type="spellEnd"/>
      <w:r w:rsidRPr="006811C9">
        <w:rPr>
          <w:color w:val="auto"/>
        </w:rPr>
        <w:t xml:space="preserve">. z 2016 r. poz. 672) w art. 401 w ust. 7 </w:t>
      </w:r>
      <w:proofErr w:type="spellStart"/>
      <w:r w:rsidRPr="006811C9">
        <w:rPr>
          <w:color w:val="auto"/>
        </w:rPr>
        <w:t>pkt</w:t>
      </w:r>
      <w:proofErr w:type="spellEnd"/>
      <w:r w:rsidRPr="006811C9">
        <w:rPr>
          <w:color w:val="auto"/>
        </w:rPr>
        <w:t xml:space="preserve"> 4a otrzymuje brzmienie: </w:t>
      </w:r>
    </w:p>
    <w:p w:rsidR="007F0E70" w:rsidRPr="006811C9" w:rsidRDefault="007F0E70">
      <w:pPr>
        <w:pStyle w:val="divquotblock"/>
        <w:rPr>
          <w:rFonts w:ascii="Times New Roman" w:hAnsi="Times New Roman" w:cs="Times New Roman"/>
          <w:color w:val="auto"/>
          <w:sz w:val="24"/>
          <w:szCs w:val="24"/>
        </w:rPr>
      </w:pPr>
    </w:p>
    <w:p w:rsidR="007F0E70" w:rsidRPr="006811C9" w:rsidRDefault="007F0E70">
      <w:pPr>
        <w:pStyle w:val="divpkt"/>
        <w:rPr>
          <w:color w:val="auto"/>
        </w:rPr>
      </w:pPr>
      <w:r w:rsidRPr="006811C9">
        <w:rPr>
          <w:color w:val="auto"/>
        </w:rPr>
        <w:t xml:space="preserve">,, </w:t>
      </w:r>
      <w:r w:rsidRPr="006811C9">
        <w:rPr>
          <w:b/>
          <w:bCs/>
          <w:color w:val="auto"/>
        </w:rPr>
        <w:t xml:space="preserve">4a) </w:t>
      </w:r>
      <w:r w:rsidRPr="006811C9">
        <w:rPr>
          <w:color w:val="auto"/>
        </w:rPr>
        <w:t xml:space="preserve"> wpływy z opłaty zastępczej, o której mowa w art. 11 ustawy z dnia 20 maja 2016 r. o efektywności energetycznej (</w:t>
      </w:r>
      <w:proofErr w:type="spellStart"/>
      <w:r w:rsidRPr="006811C9">
        <w:rPr>
          <w:color w:val="auto"/>
        </w:rPr>
        <w:t>Dz.U</w:t>
      </w:r>
      <w:proofErr w:type="spellEnd"/>
      <w:r w:rsidRPr="006811C9">
        <w:rPr>
          <w:color w:val="auto"/>
        </w:rPr>
        <w:t>. poz. 831); ".</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46 </w:t>
      </w:r>
      <w:r w:rsidRPr="006811C9">
        <w:rPr>
          <w:color w:val="auto"/>
        </w:rPr>
        <w:t>W ustawie z dnia 29 stycznia 2004 r. - Prawo zamówień publicznych (</w:t>
      </w:r>
      <w:proofErr w:type="spellStart"/>
      <w:r w:rsidRPr="006811C9">
        <w:rPr>
          <w:color w:val="auto"/>
        </w:rPr>
        <w:t>Dz.U</w:t>
      </w:r>
      <w:proofErr w:type="spellEnd"/>
      <w:r w:rsidRPr="006811C9">
        <w:rPr>
          <w:color w:val="auto"/>
        </w:rPr>
        <w:t>. z 2015 r. poz. 2164) wprowadza się następujące zmiany:</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1) </w:t>
      </w:r>
      <w:r w:rsidRPr="006811C9">
        <w:rPr>
          <w:color w:val="auto"/>
        </w:rPr>
        <w:t xml:space="preserve"> w art. 67 w ust. 1 </w:t>
      </w:r>
      <w:proofErr w:type="spellStart"/>
      <w:r w:rsidRPr="006811C9">
        <w:rPr>
          <w:color w:val="auto"/>
        </w:rPr>
        <w:t>pkt</w:t>
      </w:r>
      <w:proofErr w:type="spellEnd"/>
      <w:r w:rsidRPr="006811C9">
        <w:rPr>
          <w:color w:val="auto"/>
        </w:rPr>
        <w:t xml:space="preserve"> 9 otrzymuje brzmienie: </w:t>
      </w:r>
    </w:p>
    <w:p w:rsidR="007F0E70" w:rsidRPr="006811C9" w:rsidRDefault="007F0E70">
      <w:pPr>
        <w:pStyle w:val="divquotblock"/>
        <w:rPr>
          <w:rFonts w:ascii="Times New Roman" w:hAnsi="Times New Roman" w:cs="Times New Roman"/>
          <w:color w:val="auto"/>
          <w:sz w:val="24"/>
          <w:szCs w:val="24"/>
        </w:rPr>
      </w:pPr>
    </w:p>
    <w:p w:rsidR="007F0E70" w:rsidRPr="006811C9" w:rsidRDefault="007F0E70">
      <w:pPr>
        <w:pStyle w:val="divpkt"/>
        <w:rPr>
          <w:color w:val="auto"/>
        </w:rPr>
      </w:pPr>
      <w:r w:rsidRPr="006811C9">
        <w:rPr>
          <w:color w:val="auto"/>
        </w:rPr>
        <w:t xml:space="preserve">,, </w:t>
      </w:r>
      <w:r w:rsidRPr="006811C9">
        <w:rPr>
          <w:b/>
          <w:bCs/>
          <w:color w:val="auto"/>
        </w:rPr>
        <w:t xml:space="preserve">9) </w:t>
      </w:r>
      <w:r w:rsidRPr="006811C9">
        <w:rPr>
          <w:color w:val="auto"/>
        </w:rPr>
        <w:t xml:space="preserve"> zamówienie na dostawy jest dokonywane na giełdzie towarowej w rozumieniu ustawy z dnia 26 października 2000 r. o giełdach towarowych (</w:t>
      </w:r>
      <w:proofErr w:type="spellStart"/>
      <w:r w:rsidRPr="006811C9">
        <w:rPr>
          <w:color w:val="auto"/>
        </w:rPr>
        <w:t>Dz.U</w:t>
      </w:r>
      <w:proofErr w:type="spellEnd"/>
      <w:r w:rsidRPr="006811C9">
        <w:rPr>
          <w:color w:val="auto"/>
        </w:rPr>
        <w:t xml:space="preserve">. z 2016 r. poz. 719 i 831), w tym na giełdzie towarowej innych państw członkowskich Europejskiego Obszaru Gospodarczego lub gdy dokonuje zakupu świadectw pochodzenia, świadectw pochodzenia biogazu rolniczego, świadectw pochodzenia z </w:t>
      </w:r>
      <w:proofErr w:type="spellStart"/>
      <w:r w:rsidRPr="006811C9">
        <w:rPr>
          <w:color w:val="auto"/>
        </w:rPr>
        <w:t>kogeneracji</w:t>
      </w:r>
      <w:proofErr w:type="spellEnd"/>
      <w:r w:rsidRPr="006811C9">
        <w:rPr>
          <w:color w:val="auto"/>
        </w:rPr>
        <w:t xml:space="preserve"> oraz świadectw efektywności energetycznej na giełdzie towarowej, w tym na giełdzie towarowej innych państw członkowskich Europejskiego Obszaru Gospodarczego; ";</w:t>
      </w:r>
    </w:p>
    <w:p w:rsidR="007F0E70" w:rsidRPr="006811C9" w:rsidRDefault="007F0E70">
      <w:pPr>
        <w:rPr>
          <w:rFonts w:ascii="Times New Roman" w:hAnsi="Times New Roman" w:cs="Times New Roman"/>
          <w:color w:val="auto"/>
          <w:sz w:val="24"/>
          <w:szCs w:val="24"/>
        </w:rPr>
      </w:pPr>
    </w:p>
    <w:p w:rsidR="007F0E70" w:rsidRPr="006811C9" w:rsidRDefault="007F0E70">
      <w:pPr>
        <w:pStyle w:val="divpoint"/>
        <w:rPr>
          <w:color w:val="auto"/>
        </w:rPr>
      </w:pPr>
      <w:r w:rsidRPr="006811C9">
        <w:rPr>
          <w:b/>
          <w:bCs/>
          <w:color w:val="auto"/>
        </w:rPr>
        <w:t xml:space="preserve">2) </w:t>
      </w:r>
      <w:r w:rsidRPr="006811C9">
        <w:rPr>
          <w:color w:val="auto"/>
        </w:rPr>
        <w:t xml:space="preserve"> w art. 138a ust. 1 otrzymuje brzmienie: </w:t>
      </w:r>
    </w:p>
    <w:p w:rsidR="007F0E70" w:rsidRPr="006811C9" w:rsidRDefault="007F0E70">
      <w:pPr>
        <w:pStyle w:val="divquotblock"/>
        <w:rPr>
          <w:color w:val="auto"/>
        </w:rPr>
      </w:pPr>
      <w:r w:rsidRPr="006811C9">
        <w:rPr>
          <w:color w:val="auto"/>
        </w:rPr>
        <w:t xml:space="preserve"> 1. Zamawiający prowadzący działalność, o której mowa w art. 132 ust. 1 </w:t>
      </w:r>
      <w:proofErr w:type="spellStart"/>
      <w:r w:rsidRPr="006811C9">
        <w:rPr>
          <w:color w:val="auto"/>
        </w:rPr>
        <w:t>pkt</w:t>
      </w:r>
      <w:proofErr w:type="spellEnd"/>
      <w:r w:rsidRPr="006811C9">
        <w:rPr>
          <w:color w:val="auto"/>
        </w:rPr>
        <w:t xml:space="preserve"> 1 i 3, nie stosują ustawy do udzielenia zamówień sektorowych na dostawy energii elektrycznej, paliw gazowych lub ciepła oraz paliw do wytwarzania energii, a także zakupu świadectw pochodzenia, świadectw pochodzenia biogazu rolniczego, świadectw pochodzenia z </w:t>
      </w:r>
      <w:proofErr w:type="spellStart"/>
      <w:r w:rsidRPr="006811C9">
        <w:rPr>
          <w:color w:val="auto"/>
        </w:rPr>
        <w:t>kogeneracji</w:t>
      </w:r>
      <w:proofErr w:type="spellEnd"/>
      <w:r w:rsidRPr="006811C9">
        <w:rPr>
          <w:color w:val="auto"/>
        </w:rPr>
        <w:t xml:space="preserve"> oraz świadectw efektywności energetycznej w celu wykonania obowiązku, o którym mowa w art. 9a ust. 1 </w:t>
      </w:r>
      <w:proofErr w:type="spellStart"/>
      <w:r w:rsidRPr="006811C9">
        <w:rPr>
          <w:color w:val="auto"/>
        </w:rPr>
        <w:t>pkt</w:t>
      </w:r>
      <w:proofErr w:type="spellEnd"/>
      <w:r w:rsidRPr="006811C9">
        <w:rPr>
          <w:color w:val="auto"/>
        </w:rPr>
        <w:t xml:space="preserve"> 1 ustawy z dnia 10 kwietnia 1997 r. - Prawo energetyczne (</w:t>
      </w:r>
      <w:proofErr w:type="spellStart"/>
      <w:r w:rsidRPr="006811C9">
        <w:rPr>
          <w:color w:val="auto"/>
        </w:rPr>
        <w:t>Dz.U</w:t>
      </w:r>
      <w:proofErr w:type="spellEnd"/>
      <w:r w:rsidRPr="006811C9">
        <w:rPr>
          <w:color w:val="auto"/>
        </w:rPr>
        <w:t xml:space="preserve">. z 2012 r. poz. 1059, z </w:t>
      </w:r>
      <w:proofErr w:type="spellStart"/>
      <w:r w:rsidRPr="006811C9">
        <w:rPr>
          <w:color w:val="auto"/>
        </w:rPr>
        <w:t>późn</w:t>
      </w:r>
      <w:proofErr w:type="spellEnd"/>
      <w:r w:rsidRPr="006811C9">
        <w:rPr>
          <w:color w:val="auto"/>
        </w:rPr>
        <w:t>. zm.</w:t>
      </w:r>
      <w:r w:rsidRPr="006811C9">
        <w:rPr>
          <w:color w:val="auto"/>
          <w:vertAlign w:val="superscript"/>
        </w:rPr>
        <w:t>10)</w:t>
      </w:r>
      <w:r w:rsidRPr="006811C9">
        <w:rPr>
          <w:color w:val="auto"/>
          <w:vertAlign w:val="superscript"/>
        </w:rPr>
        <w:footnoteReference w:customMarkFollows="1" w:id="10"/>
        <w:t xml:space="preserve"> </w:t>
      </w:r>
      <w:r w:rsidRPr="006811C9">
        <w:rPr>
          <w:color w:val="auto"/>
        </w:rPr>
        <w:t xml:space="preserve">) lub w celu wykonania obowiązku, o którym mowa w art. 52 ust. 1 </w:t>
      </w:r>
      <w:proofErr w:type="spellStart"/>
      <w:r w:rsidRPr="006811C9">
        <w:rPr>
          <w:color w:val="auto"/>
        </w:rPr>
        <w:t>pkt</w:t>
      </w:r>
      <w:proofErr w:type="spellEnd"/>
      <w:r w:rsidRPr="006811C9">
        <w:rPr>
          <w:color w:val="auto"/>
        </w:rPr>
        <w:t xml:space="preserve"> 1 ustawy z dnia 20 lutego 2015 r. o odnawialnych źródłach energii (</w:t>
      </w:r>
      <w:proofErr w:type="spellStart"/>
      <w:r w:rsidRPr="006811C9">
        <w:rPr>
          <w:color w:val="auto"/>
        </w:rPr>
        <w:t>Dz.U</w:t>
      </w:r>
      <w:proofErr w:type="spellEnd"/>
      <w:r w:rsidRPr="006811C9">
        <w:rPr>
          <w:color w:val="auto"/>
        </w:rPr>
        <w:t xml:space="preserve">. poz. 478 i 2365) lub w celu wykonania obowiązku, o którym mowa w art. 10 ust. 1 </w:t>
      </w:r>
      <w:proofErr w:type="spellStart"/>
      <w:r w:rsidRPr="006811C9">
        <w:rPr>
          <w:color w:val="auto"/>
        </w:rPr>
        <w:t>pkt</w:t>
      </w:r>
      <w:proofErr w:type="spellEnd"/>
      <w:r w:rsidRPr="006811C9">
        <w:rPr>
          <w:color w:val="auto"/>
        </w:rPr>
        <w:t xml:space="preserve"> 2 ustawy z dnia 20 maja 2016 r. o efektywności energetycznej (</w:t>
      </w:r>
      <w:proofErr w:type="spellStart"/>
      <w:r w:rsidRPr="006811C9">
        <w:rPr>
          <w:color w:val="auto"/>
        </w:rPr>
        <w:t>Dz.U</w:t>
      </w:r>
      <w:proofErr w:type="spellEnd"/>
      <w:r w:rsidRPr="006811C9">
        <w:rPr>
          <w:color w:val="auto"/>
        </w:rPr>
        <w:t xml:space="preserve">. poz. 831). </w:t>
      </w:r>
    </w:p>
    <w:p w:rsidR="007F0E70" w:rsidRPr="006811C9" w:rsidRDefault="007F0E70">
      <w:pPr>
        <w:rPr>
          <w:rFonts w:ascii="Times New Roman" w:hAnsi="Times New Roman" w:cs="Times New Roman"/>
          <w:color w:val="auto"/>
          <w:sz w:val="24"/>
          <w:szCs w:val="24"/>
        </w:rPr>
      </w:pPr>
    </w:p>
    <w:p w:rsidR="007F0E70" w:rsidRPr="006811C9" w:rsidRDefault="007F0E70">
      <w:pPr>
        <w:rPr>
          <w:color w:val="auto"/>
        </w:rPr>
      </w:pPr>
      <w:r w:rsidRPr="006811C9">
        <w:rPr>
          <w:b/>
          <w:bCs/>
          <w:color w:val="auto"/>
        </w:rPr>
        <w:t xml:space="preserve">Art. 47 </w:t>
      </w:r>
      <w:r w:rsidRPr="006811C9">
        <w:rPr>
          <w:color w:val="auto"/>
        </w:rPr>
        <w:t>W ustawie z dnia 3 października 2008 r. o udostępnianiu informacji o środowisku i jego ochronie, udziale społeczeństwa w ochronie środowiska oraz o ocenach oddziaływania na środowisko (</w:t>
      </w:r>
      <w:proofErr w:type="spellStart"/>
      <w:r w:rsidRPr="006811C9">
        <w:rPr>
          <w:color w:val="auto"/>
        </w:rPr>
        <w:t>Dz.U</w:t>
      </w:r>
      <w:proofErr w:type="spellEnd"/>
      <w:r w:rsidRPr="006811C9">
        <w:rPr>
          <w:color w:val="auto"/>
        </w:rPr>
        <w:t xml:space="preserve">. z 2016 r. poz. 353) w art. 74 w ust. 1 w </w:t>
      </w:r>
      <w:proofErr w:type="spellStart"/>
      <w:r w:rsidRPr="006811C9">
        <w:rPr>
          <w:color w:val="auto"/>
        </w:rPr>
        <w:t>pkt</w:t>
      </w:r>
      <w:proofErr w:type="spellEnd"/>
      <w:r w:rsidRPr="006811C9">
        <w:rPr>
          <w:color w:val="auto"/>
        </w:rPr>
        <w:t xml:space="preserve"> 7 kropkę zastępuje się średnikiem i dodaje się </w:t>
      </w:r>
      <w:proofErr w:type="spellStart"/>
      <w:r w:rsidRPr="006811C9">
        <w:rPr>
          <w:color w:val="auto"/>
        </w:rPr>
        <w:t>pkt</w:t>
      </w:r>
      <w:proofErr w:type="spellEnd"/>
      <w:r w:rsidRPr="006811C9">
        <w:rPr>
          <w:color w:val="auto"/>
        </w:rPr>
        <w:t xml:space="preserve"> 8 w brzmieniu: </w:t>
      </w:r>
    </w:p>
    <w:p w:rsidR="007F0E70" w:rsidRPr="006811C9" w:rsidRDefault="007F0E70">
      <w:pPr>
        <w:pStyle w:val="divquotblock"/>
        <w:rPr>
          <w:rFonts w:ascii="Times New Roman" w:hAnsi="Times New Roman" w:cs="Times New Roman"/>
          <w:color w:val="auto"/>
          <w:sz w:val="24"/>
          <w:szCs w:val="24"/>
        </w:rPr>
      </w:pPr>
    </w:p>
    <w:p w:rsidR="00A74160" w:rsidRPr="006811C9" w:rsidRDefault="007F0E70">
      <w:pPr>
        <w:pStyle w:val="divpkt"/>
        <w:rPr>
          <w:color w:val="auto"/>
        </w:rPr>
      </w:pPr>
      <w:r w:rsidRPr="006811C9">
        <w:rPr>
          <w:color w:val="auto"/>
        </w:rPr>
        <w:t xml:space="preserve">,, </w:t>
      </w:r>
      <w:r w:rsidRPr="006811C9">
        <w:rPr>
          <w:b/>
          <w:bCs/>
          <w:color w:val="auto"/>
        </w:rPr>
        <w:t xml:space="preserve">8) </w:t>
      </w:r>
      <w:r w:rsidRPr="006811C9">
        <w:rPr>
          <w:color w:val="auto"/>
        </w:rPr>
        <w:t xml:space="preserve"> analizę kosztów i korzyści, o której mowa w art. 10a ust. 1 ustawy z dnia 10 kwietnia 1997 r. - Prawo energetyczne (</w:t>
      </w:r>
      <w:proofErr w:type="spellStart"/>
      <w:r w:rsidRPr="006811C9">
        <w:rPr>
          <w:color w:val="auto"/>
        </w:rPr>
        <w:t>Dz.U</w:t>
      </w:r>
      <w:proofErr w:type="spellEnd"/>
      <w:r w:rsidRPr="006811C9">
        <w:rPr>
          <w:color w:val="auto"/>
        </w:rPr>
        <w:t xml:space="preserve">. z 2012 r. poz. 1059, z </w:t>
      </w:r>
      <w:proofErr w:type="spellStart"/>
      <w:r w:rsidRPr="006811C9">
        <w:rPr>
          <w:color w:val="auto"/>
        </w:rPr>
        <w:t>późn</w:t>
      </w:r>
      <w:proofErr w:type="spellEnd"/>
      <w:r w:rsidRPr="006811C9">
        <w:rPr>
          <w:color w:val="auto"/>
        </w:rPr>
        <w:t>. zm.</w:t>
      </w:r>
      <w:r w:rsidRPr="006811C9">
        <w:rPr>
          <w:color w:val="auto"/>
          <w:vertAlign w:val="superscript"/>
        </w:rPr>
        <w:t>11)</w:t>
      </w:r>
      <w:r w:rsidRPr="006811C9">
        <w:rPr>
          <w:color w:val="auto"/>
          <w:vertAlign w:val="superscript"/>
        </w:rPr>
        <w:footnoteReference w:customMarkFollows="1" w:id="11"/>
        <w:t xml:space="preserve"> </w:t>
      </w:r>
      <w:r w:rsidRPr="006811C9">
        <w:rPr>
          <w:color w:val="auto"/>
        </w:rPr>
        <w:t>). ".</w:t>
      </w:r>
    </w:p>
    <w:p w:rsidR="00A74160" w:rsidRPr="006811C9" w:rsidRDefault="00A74160">
      <w:pPr>
        <w:rPr>
          <w:rFonts w:ascii="Times New Roman" w:hAnsi="Times New Roman" w:cs="Times New Roman"/>
          <w:color w:val="auto"/>
          <w:sz w:val="24"/>
          <w:szCs w:val="24"/>
        </w:rPr>
      </w:pPr>
    </w:p>
    <w:p w:rsidR="00A74160" w:rsidRPr="006811C9" w:rsidRDefault="007F0E70">
      <w:pPr>
        <w:rPr>
          <w:color w:val="auto"/>
        </w:rPr>
      </w:pPr>
      <w:r w:rsidRPr="006811C9">
        <w:rPr>
          <w:b/>
          <w:bCs/>
          <w:color w:val="auto"/>
        </w:rPr>
        <w:t xml:space="preserve">Art. 48 </w:t>
      </w:r>
      <w:r w:rsidRPr="006811C9">
        <w:rPr>
          <w:color w:val="auto"/>
        </w:rPr>
        <w:t>W ustawie z dnia 29 grudnia 2015 r. o zmianie ustawy o efektywności energetycznej (</w:t>
      </w:r>
      <w:proofErr w:type="spellStart"/>
      <w:r w:rsidRPr="006811C9">
        <w:rPr>
          <w:color w:val="auto"/>
        </w:rPr>
        <w:t>Dz.U</w:t>
      </w:r>
      <w:proofErr w:type="spellEnd"/>
      <w:r w:rsidRPr="006811C9">
        <w:rPr>
          <w:color w:val="auto"/>
        </w:rPr>
        <w:t>. poz. 2359) uchyla się art. 2.</w:t>
      </w:r>
    </w:p>
    <w:p w:rsidR="00A74160" w:rsidRPr="006811C9" w:rsidRDefault="00A74160">
      <w:pPr>
        <w:rPr>
          <w:rFonts w:ascii="Times New Roman" w:hAnsi="Times New Roman" w:cs="Times New Roman"/>
          <w:color w:val="auto"/>
          <w:sz w:val="24"/>
          <w:szCs w:val="24"/>
        </w:rPr>
      </w:pPr>
    </w:p>
    <w:p w:rsidR="00A74160" w:rsidRPr="006811C9" w:rsidRDefault="00A74160">
      <w:pPr>
        <w:rPr>
          <w:rFonts w:ascii="Times New Roman" w:hAnsi="Times New Roman" w:cs="Times New Roman"/>
          <w:color w:val="auto"/>
          <w:sz w:val="24"/>
          <w:szCs w:val="24"/>
        </w:rPr>
      </w:pPr>
    </w:p>
    <w:p w:rsidR="00A74160" w:rsidRPr="006811C9" w:rsidRDefault="007F0E70">
      <w:pPr>
        <w:pStyle w:val="h1chapter"/>
        <w:rPr>
          <w:b w:val="0"/>
          <w:bCs w:val="0"/>
          <w:color w:val="auto"/>
        </w:rPr>
      </w:pPr>
      <w:r w:rsidRPr="006811C9">
        <w:rPr>
          <w:color w:val="auto"/>
        </w:rPr>
        <w:t xml:space="preserve">Rozdział 8. Przepisy przejściowe. </w:t>
      </w:r>
    </w:p>
    <w:p w:rsidR="00A74160" w:rsidRPr="006811C9" w:rsidRDefault="00A74160">
      <w:pPr>
        <w:rPr>
          <w:rFonts w:ascii="Times New Roman" w:hAnsi="Times New Roman" w:cs="Times New Roman"/>
          <w:color w:val="auto"/>
          <w:sz w:val="24"/>
          <w:szCs w:val="24"/>
        </w:rPr>
      </w:pPr>
    </w:p>
    <w:p w:rsidR="00A74160" w:rsidRPr="006811C9" w:rsidRDefault="00A74160">
      <w:pPr>
        <w:rPr>
          <w:rFonts w:ascii="Times New Roman" w:hAnsi="Times New Roman" w:cs="Times New Roman"/>
          <w:color w:val="auto"/>
          <w:sz w:val="24"/>
          <w:szCs w:val="24"/>
        </w:rPr>
      </w:pPr>
    </w:p>
    <w:p w:rsidR="00A74160" w:rsidRPr="006811C9" w:rsidRDefault="007F0E70">
      <w:pPr>
        <w:rPr>
          <w:color w:val="auto"/>
        </w:rPr>
      </w:pPr>
      <w:r w:rsidRPr="006811C9">
        <w:rPr>
          <w:b/>
          <w:bCs/>
          <w:color w:val="auto"/>
        </w:rPr>
        <w:t xml:space="preserve">Art. 49 [Krajowy plan działań, termin przekazania] </w:t>
      </w:r>
      <w:r w:rsidRPr="006811C9">
        <w:rPr>
          <w:color w:val="auto"/>
        </w:rPr>
        <w:t>Krajowy plan działań minister właściwy do spraw energii po raz pierwszy przekazuje Komisji Europejskiej, do dnia 30 kwietnia 2017 r.</w:t>
      </w:r>
    </w:p>
    <w:p w:rsidR="00A74160" w:rsidRPr="006811C9" w:rsidRDefault="00A74160">
      <w:pPr>
        <w:rPr>
          <w:rFonts w:ascii="Times New Roman" w:hAnsi="Times New Roman" w:cs="Times New Roman"/>
          <w:color w:val="auto"/>
          <w:sz w:val="24"/>
          <w:szCs w:val="24"/>
        </w:rPr>
      </w:pPr>
    </w:p>
    <w:p w:rsidR="00A74160" w:rsidRPr="006811C9" w:rsidRDefault="007F0E70">
      <w:pPr>
        <w:rPr>
          <w:color w:val="auto"/>
        </w:rPr>
      </w:pPr>
      <w:r w:rsidRPr="006811C9">
        <w:rPr>
          <w:b/>
          <w:bCs/>
          <w:color w:val="auto"/>
        </w:rPr>
        <w:t xml:space="preserve">Art. 50 [Sprawozdanie, termin przekazania] </w:t>
      </w:r>
      <w:r w:rsidRPr="006811C9">
        <w:rPr>
          <w:color w:val="auto"/>
        </w:rPr>
        <w:t>Sprawozdanie, o którym mowa w art. 12 ust. 6, Zarząd Narodowego Funduszu Ochrony Środowiska i Gospodarki Wodnej po raz pierwszy przekaże ministrowi właściwemu do spraw energii do dnia 31 lipca 2017 r.</w:t>
      </w:r>
    </w:p>
    <w:p w:rsidR="00A74160" w:rsidRPr="006811C9" w:rsidRDefault="00A74160">
      <w:pPr>
        <w:rPr>
          <w:rFonts w:ascii="Times New Roman" w:hAnsi="Times New Roman" w:cs="Times New Roman"/>
          <w:color w:val="auto"/>
          <w:sz w:val="24"/>
          <w:szCs w:val="24"/>
        </w:rPr>
      </w:pPr>
    </w:p>
    <w:p w:rsidR="00A74160" w:rsidRPr="006811C9" w:rsidRDefault="007F0E70">
      <w:pPr>
        <w:rPr>
          <w:color w:val="auto"/>
        </w:rPr>
      </w:pPr>
      <w:r w:rsidRPr="006811C9">
        <w:rPr>
          <w:b/>
          <w:bCs/>
          <w:color w:val="auto"/>
        </w:rPr>
        <w:t xml:space="preserve">Art. 51 [Audyt energetyczny, przeprowadzenie po raz pierwszy] </w:t>
      </w:r>
    </w:p>
    <w:p w:rsidR="00A74160" w:rsidRPr="006811C9" w:rsidRDefault="00A74160">
      <w:pPr>
        <w:rPr>
          <w:rFonts w:ascii="Times New Roman" w:hAnsi="Times New Roman" w:cs="Times New Roman"/>
          <w:color w:val="auto"/>
          <w:sz w:val="24"/>
          <w:szCs w:val="24"/>
        </w:rPr>
      </w:pPr>
    </w:p>
    <w:p w:rsidR="00A74160" w:rsidRPr="006811C9" w:rsidRDefault="007F0E70">
      <w:pPr>
        <w:pStyle w:val="divparagraph"/>
        <w:rPr>
          <w:color w:val="auto"/>
        </w:rPr>
      </w:pPr>
      <w:r w:rsidRPr="006811C9">
        <w:rPr>
          <w:color w:val="auto"/>
        </w:rPr>
        <w:t>1. Przedsiębiorca, o którym mowa w art. 36 ust. 1, po raz pierwszy przeprowadzi audyt energetyczny przedsiębiorstwa w terminie 12 miesięcy od dnia wejścia w życie ustawy.</w:t>
      </w:r>
    </w:p>
    <w:p w:rsidR="00A74160" w:rsidRPr="006811C9" w:rsidRDefault="00A74160">
      <w:pPr>
        <w:rPr>
          <w:rFonts w:ascii="Times New Roman" w:hAnsi="Times New Roman" w:cs="Times New Roman"/>
          <w:color w:val="auto"/>
          <w:sz w:val="24"/>
          <w:szCs w:val="24"/>
        </w:rPr>
      </w:pPr>
    </w:p>
    <w:p w:rsidR="00A74160" w:rsidRPr="006811C9" w:rsidRDefault="007F0E70">
      <w:pPr>
        <w:pStyle w:val="divparagraph"/>
        <w:rPr>
          <w:color w:val="auto"/>
        </w:rPr>
      </w:pPr>
      <w:r w:rsidRPr="006811C9">
        <w:rPr>
          <w:color w:val="auto"/>
        </w:rPr>
        <w:t>2. Audyt energetyczny przedsiębiorstwa przeprowadzony przed dniem wejścia w życie ustawy, ale nie wcześniej niż przed dniem 5 grudnia 2012 r., i spełniający wymagania, o których mowa w art. 37 ust. 1 i 2, uznaje się za audyt energetyczny w rozumieniu art. 36 ust. 1. O przeprowadzeniu takiego audytu przedsiębiorstwo zawiadamia Prezesa Urzędu Regulacji Energetyki w terminie 30 dni od dnia wejścia w życie ustawy.</w:t>
      </w:r>
    </w:p>
    <w:p w:rsidR="00A74160" w:rsidRPr="006811C9" w:rsidRDefault="00A74160">
      <w:pPr>
        <w:rPr>
          <w:rFonts w:ascii="Times New Roman" w:hAnsi="Times New Roman" w:cs="Times New Roman"/>
          <w:color w:val="auto"/>
          <w:sz w:val="24"/>
          <w:szCs w:val="24"/>
        </w:rPr>
      </w:pPr>
    </w:p>
    <w:p w:rsidR="00A74160" w:rsidRPr="006811C9" w:rsidRDefault="007F0E70">
      <w:pPr>
        <w:rPr>
          <w:color w:val="auto"/>
        </w:rPr>
      </w:pPr>
      <w:r w:rsidRPr="006811C9">
        <w:rPr>
          <w:b/>
          <w:bCs/>
          <w:color w:val="auto"/>
        </w:rPr>
        <w:t xml:space="preserve">Art. 52 [Wyposażenie lokalu w ciepłomierze lub wodomierze ciepłej wody użytkowej] </w:t>
      </w:r>
      <w:r w:rsidRPr="006811C9">
        <w:rPr>
          <w:color w:val="auto"/>
        </w:rPr>
        <w:t xml:space="preserve">Właściciel lub zarządca lokali wyposaży je, o ile będzie to technicznie wykonalne i opłacalne, w ciepłomierze lub wodomierze ciepłej wody użytkowej, o których mowa w art. 45a ust. 7 </w:t>
      </w:r>
      <w:proofErr w:type="spellStart"/>
      <w:r w:rsidRPr="006811C9">
        <w:rPr>
          <w:color w:val="auto"/>
        </w:rPr>
        <w:t>pkt</w:t>
      </w:r>
      <w:proofErr w:type="spellEnd"/>
      <w:r w:rsidRPr="006811C9">
        <w:rPr>
          <w:color w:val="auto"/>
        </w:rPr>
        <w:t xml:space="preserve"> 2 ustawy zmienianej w art. 43, do dnia 31 grudnia 2016 r.</w:t>
      </w:r>
    </w:p>
    <w:p w:rsidR="00A74160" w:rsidRPr="006811C9" w:rsidRDefault="00A74160">
      <w:pPr>
        <w:rPr>
          <w:rFonts w:ascii="Times New Roman" w:hAnsi="Times New Roman" w:cs="Times New Roman"/>
          <w:color w:val="auto"/>
          <w:sz w:val="24"/>
          <w:szCs w:val="24"/>
        </w:rPr>
      </w:pPr>
    </w:p>
    <w:p w:rsidR="00A74160" w:rsidRPr="006811C9" w:rsidRDefault="007F0E70">
      <w:pPr>
        <w:rPr>
          <w:color w:val="auto"/>
        </w:rPr>
      </w:pPr>
      <w:r w:rsidRPr="006811C9">
        <w:rPr>
          <w:b/>
          <w:bCs/>
          <w:color w:val="auto"/>
        </w:rPr>
        <w:t xml:space="preserve">Art. 53 [Stosowanie przepisów dotychczasowych] </w:t>
      </w:r>
    </w:p>
    <w:p w:rsidR="00A74160" w:rsidRPr="006811C9" w:rsidRDefault="00A74160">
      <w:pPr>
        <w:rPr>
          <w:rFonts w:ascii="Times New Roman" w:hAnsi="Times New Roman" w:cs="Times New Roman"/>
          <w:color w:val="auto"/>
          <w:sz w:val="24"/>
          <w:szCs w:val="24"/>
        </w:rPr>
      </w:pPr>
    </w:p>
    <w:p w:rsidR="00A74160" w:rsidRPr="006811C9" w:rsidRDefault="007F0E70">
      <w:pPr>
        <w:pStyle w:val="divparagraph"/>
        <w:rPr>
          <w:color w:val="auto"/>
        </w:rPr>
      </w:pPr>
      <w:r w:rsidRPr="006811C9">
        <w:rPr>
          <w:color w:val="auto"/>
        </w:rPr>
        <w:t xml:space="preserve">1. Do wykonania i rozliczenia wykonania obowiązku, o którym mowa w art. 12 ust. 1 i art. 23 ust. 3 ustawy uchylanej w art. 59, za okres przed dniem wejścia w życie ustawy, oraz w zakresie kar pieniężnych za niedopełnienie tego obowiązku stosuje się przepisy dotychczasowe. </w:t>
      </w:r>
    </w:p>
    <w:p w:rsidR="00A74160" w:rsidRPr="006811C9" w:rsidRDefault="00A74160">
      <w:pPr>
        <w:rPr>
          <w:rFonts w:ascii="Times New Roman" w:hAnsi="Times New Roman" w:cs="Times New Roman"/>
          <w:color w:val="auto"/>
          <w:sz w:val="24"/>
          <w:szCs w:val="24"/>
        </w:rPr>
      </w:pPr>
    </w:p>
    <w:p w:rsidR="00A74160" w:rsidRPr="006811C9" w:rsidRDefault="007F0E70">
      <w:pPr>
        <w:pStyle w:val="divparagraph"/>
        <w:rPr>
          <w:color w:val="auto"/>
        </w:rPr>
      </w:pPr>
      <w:r w:rsidRPr="006811C9">
        <w:rPr>
          <w:color w:val="auto"/>
        </w:rPr>
        <w:t xml:space="preserve">2. Wskaźnik, o którym mowa w art. 3 ustawy z dnia 29 grudnia 2015 r. o zmianie ustawy o efektywności energetycznej, stosuje się do obliczenia ilości energii pierwotnej odpowiadającej wartości świadectwa efektywności energetycznej, które są obowiązane uzyskać i przedstawić do umorzenia podmioty, o których mowa w art. 12 ust. 2 ustawy uchylanej w art. 59, do dnia wejścia w życie ustawy. </w:t>
      </w:r>
    </w:p>
    <w:p w:rsidR="00A74160" w:rsidRPr="006811C9" w:rsidRDefault="00A74160">
      <w:pPr>
        <w:rPr>
          <w:rFonts w:ascii="Times New Roman" w:hAnsi="Times New Roman" w:cs="Times New Roman"/>
          <w:color w:val="auto"/>
          <w:sz w:val="24"/>
          <w:szCs w:val="24"/>
        </w:rPr>
      </w:pPr>
    </w:p>
    <w:p w:rsidR="00A74160" w:rsidRPr="006811C9" w:rsidRDefault="007F0E70">
      <w:pPr>
        <w:rPr>
          <w:color w:val="auto"/>
        </w:rPr>
      </w:pPr>
      <w:r w:rsidRPr="006811C9">
        <w:rPr>
          <w:b/>
          <w:bCs/>
          <w:color w:val="auto"/>
        </w:rPr>
        <w:t xml:space="preserve">Art. 54 [Uiszczanie opłat] </w:t>
      </w:r>
    </w:p>
    <w:p w:rsidR="00A74160" w:rsidRPr="006811C9" w:rsidRDefault="00A74160">
      <w:pPr>
        <w:rPr>
          <w:rFonts w:ascii="Times New Roman" w:hAnsi="Times New Roman" w:cs="Times New Roman"/>
          <w:color w:val="auto"/>
          <w:sz w:val="24"/>
          <w:szCs w:val="24"/>
        </w:rPr>
      </w:pPr>
    </w:p>
    <w:p w:rsidR="00A74160" w:rsidRPr="006811C9" w:rsidRDefault="007F0E70">
      <w:pPr>
        <w:pStyle w:val="divparagraph"/>
        <w:rPr>
          <w:color w:val="auto"/>
        </w:rPr>
      </w:pPr>
      <w:r w:rsidRPr="006811C9">
        <w:rPr>
          <w:color w:val="auto"/>
        </w:rPr>
        <w:t xml:space="preserve">1. Opłaty zastępcze, o których mowa w art. 12 ust. 1 </w:t>
      </w:r>
      <w:proofErr w:type="spellStart"/>
      <w:r w:rsidRPr="006811C9">
        <w:rPr>
          <w:color w:val="auto"/>
        </w:rPr>
        <w:t>pkt</w:t>
      </w:r>
      <w:proofErr w:type="spellEnd"/>
      <w:r w:rsidRPr="006811C9">
        <w:rPr>
          <w:color w:val="auto"/>
        </w:rPr>
        <w:t xml:space="preserve"> 2 ustawy uchylanej w art. 59, uiszczane na rachunek bankowy Narodowego Funduszu Ochrony Środowiska i Gospodarki Wodnej po dniu wejścia w życie ustawy stanowią przychód tego Funduszu i są uwzględniane przy ustalaniu wysokości zobowiązania określonego w art. 401c ust. 5 ustawy z dnia 27 kwietnia 2001 r. - Prawo ochrony środowiska. </w:t>
      </w:r>
    </w:p>
    <w:p w:rsidR="00A74160" w:rsidRPr="006811C9" w:rsidRDefault="00A74160">
      <w:pPr>
        <w:rPr>
          <w:rFonts w:ascii="Times New Roman" w:hAnsi="Times New Roman" w:cs="Times New Roman"/>
          <w:color w:val="auto"/>
          <w:sz w:val="24"/>
          <w:szCs w:val="24"/>
        </w:rPr>
      </w:pPr>
    </w:p>
    <w:p w:rsidR="00A74160" w:rsidRPr="006811C9" w:rsidRDefault="007F0E70">
      <w:pPr>
        <w:pStyle w:val="divparagraph"/>
        <w:rPr>
          <w:color w:val="auto"/>
        </w:rPr>
      </w:pPr>
      <w:r w:rsidRPr="006811C9">
        <w:rPr>
          <w:color w:val="auto"/>
        </w:rPr>
        <w:t xml:space="preserve">2. Kary pieniężne wymierzane na podstawie art. 35 ustawy uchylanej w art. 59 płatne po dniu wejścia w życie ustawy uiszcza się na rachunek bankowy właściwego urzędu skarbowego. Wpływy z tych kar stanowią dochód budżetu państwa. </w:t>
      </w:r>
    </w:p>
    <w:p w:rsidR="00A74160" w:rsidRPr="006811C9" w:rsidRDefault="00A74160">
      <w:pPr>
        <w:rPr>
          <w:rFonts w:ascii="Times New Roman" w:hAnsi="Times New Roman" w:cs="Times New Roman"/>
          <w:color w:val="auto"/>
          <w:sz w:val="24"/>
          <w:szCs w:val="24"/>
        </w:rPr>
      </w:pPr>
    </w:p>
    <w:p w:rsidR="00A74160" w:rsidRPr="006811C9" w:rsidRDefault="007F0E70">
      <w:pPr>
        <w:rPr>
          <w:color w:val="auto"/>
        </w:rPr>
      </w:pPr>
      <w:r w:rsidRPr="006811C9">
        <w:rPr>
          <w:b/>
          <w:bCs/>
          <w:color w:val="auto"/>
        </w:rPr>
        <w:t xml:space="preserve">Art. 55 [Wartość świadectw efektywności energetycznej w okresie przejściowym] </w:t>
      </w:r>
    </w:p>
    <w:p w:rsidR="00A74160" w:rsidRPr="006811C9" w:rsidRDefault="00A74160">
      <w:pPr>
        <w:rPr>
          <w:rFonts w:ascii="Times New Roman" w:hAnsi="Times New Roman" w:cs="Times New Roman"/>
          <w:color w:val="auto"/>
          <w:sz w:val="24"/>
          <w:szCs w:val="24"/>
        </w:rPr>
      </w:pPr>
    </w:p>
    <w:p w:rsidR="00A74160" w:rsidRPr="006811C9" w:rsidRDefault="007F0E70">
      <w:pPr>
        <w:pStyle w:val="divparagraph"/>
        <w:rPr>
          <w:color w:val="auto"/>
        </w:rPr>
      </w:pPr>
      <w:r w:rsidRPr="006811C9">
        <w:rPr>
          <w:color w:val="auto"/>
        </w:rPr>
        <w:t xml:space="preserve">1. Do dnia 30 czerwca 2019 r. świadectwa efektywności energetycznej, wydane na podstawie ustawy uchylanej w art. 59, uwzględnia się w realizacji obowiązku określonego w art. 10 ust. 1. </w:t>
      </w:r>
    </w:p>
    <w:p w:rsidR="00A74160" w:rsidRPr="006811C9" w:rsidRDefault="00A74160">
      <w:pPr>
        <w:rPr>
          <w:rFonts w:ascii="Times New Roman" w:hAnsi="Times New Roman" w:cs="Times New Roman"/>
          <w:color w:val="auto"/>
          <w:sz w:val="24"/>
          <w:szCs w:val="24"/>
        </w:rPr>
      </w:pPr>
    </w:p>
    <w:p w:rsidR="00A74160" w:rsidRPr="006811C9" w:rsidRDefault="007F0E70">
      <w:pPr>
        <w:pStyle w:val="divparagraph"/>
        <w:rPr>
          <w:color w:val="auto"/>
        </w:rPr>
      </w:pPr>
      <w:r w:rsidRPr="006811C9">
        <w:rPr>
          <w:color w:val="auto"/>
        </w:rPr>
        <w:t>2. Przy rozliczeniu wykonania obowiązku określonego w art. 10 ust. 1 przyjmuje się, że wartość świadectw efektywności energetycznej, o których mowa w ust. 1, wyrażona w tonach oleju ekwiwalentnego, odpowiada wartości świadectw efektywności energetycznej, o których mowa w art. 20.</w:t>
      </w:r>
    </w:p>
    <w:p w:rsidR="00A74160" w:rsidRPr="006811C9" w:rsidRDefault="00A74160">
      <w:pPr>
        <w:rPr>
          <w:rFonts w:ascii="Times New Roman" w:hAnsi="Times New Roman" w:cs="Times New Roman"/>
          <w:color w:val="auto"/>
          <w:sz w:val="24"/>
          <w:szCs w:val="24"/>
        </w:rPr>
      </w:pPr>
    </w:p>
    <w:p w:rsidR="00A74160" w:rsidRPr="006811C9" w:rsidRDefault="007F0E70">
      <w:pPr>
        <w:rPr>
          <w:color w:val="auto"/>
        </w:rPr>
      </w:pPr>
      <w:r w:rsidRPr="006811C9">
        <w:rPr>
          <w:b/>
          <w:bCs/>
          <w:color w:val="auto"/>
        </w:rPr>
        <w:t xml:space="preserve">Art. 56 [Postępowania w toku] </w:t>
      </w:r>
      <w:r w:rsidRPr="006811C9">
        <w:rPr>
          <w:color w:val="auto"/>
        </w:rPr>
        <w:t>Do postępowań wszczętych i niezakończonych przed dniem wejścia w życie ustawy dotyczących świadectw efektywności energetycznej oraz przetargów stosuje się przepisy dotychczasowe.</w:t>
      </w:r>
    </w:p>
    <w:p w:rsidR="00A74160" w:rsidRPr="006811C9" w:rsidRDefault="00A74160">
      <w:pPr>
        <w:rPr>
          <w:rFonts w:ascii="Times New Roman" w:hAnsi="Times New Roman" w:cs="Times New Roman"/>
          <w:color w:val="auto"/>
          <w:sz w:val="24"/>
          <w:szCs w:val="24"/>
        </w:rPr>
      </w:pPr>
    </w:p>
    <w:p w:rsidR="00A74160" w:rsidRPr="006811C9" w:rsidRDefault="007F0E70">
      <w:pPr>
        <w:rPr>
          <w:color w:val="auto"/>
        </w:rPr>
      </w:pPr>
      <w:r w:rsidRPr="006811C9">
        <w:rPr>
          <w:b/>
          <w:bCs/>
          <w:color w:val="auto"/>
        </w:rPr>
        <w:t xml:space="preserve">Art. 57 [Regulacje przejściowe] </w:t>
      </w:r>
    </w:p>
    <w:p w:rsidR="00A74160" w:rsidRPr="006811C9" w:rsidRDefault="00A74160">
      <w:pPr>
        <w:rPr>
          <w:rFonts w:ascii="Times New Roman" w:hAnsi="Times New Roman" w:cs="Times New Roman"/>
          <w:color w:val="auto"/>
          <w:sz w:val="24"/>
          <w:szCs w:val="24"/>
        </w:rPr>
      </w:pPr>
    </w:p>
    <w:p w:rsidR="00A74160" w:rsidRPr="006811C9" w:rsidRDefault="007F0E70">
      <w:pPr>
        <w:pStyle w:val="divparagraph"/>
        <w:rPr>
          <w:color w:val="auto"/>
        </w:rPr>
      </w:pPr>
      <w:r w:rsidRPr="006811C9">
        <w:rPr>
          <w:color w:val="auto"/>
        </w:rPr>
        <w:t xml:space="preserve">1. Przedsięwzięcie lub przedsięwzięcia służące poprawie efektywności energetycznej zakończone przed dniem wejścia w życie ustawy, ale nie wcześniej niż przed dniem 1 stycznia 2014 r., dla których nie wydano świadectw efektywności energetycznej w rozumieniu ustawy uchylanej w art. 59 oraz świadectw efektywności energetycznej, o których mowa w ust. 2, do dnia 30 czerwca 2019 r. zalicza się na poczet realizacji obowiązku określonego w art. 10 ust. 1. </w:t>
      </w:r>
    </w:p>
    <w:p w:rsidR="00A74160" w:rsidRPr="006811C9" w:rsidRDefault="00A74160">
      <w:pPr>
        <w:rPr>
          <w:rFonts w:ascii="Times New Roman" w:hAnsi="Times New Roman" w:cs="Times New Roman"/>
          <w:color w:val="auto"/>
          <w:sz w:val="24"/>
          <w:szCs w:val="24"/>
        </w:rPr>
      </w:pPr>
    </w:p>
    <w:p w:rsidR="00A74160" w:rsidRPr="006811C9" w:rsidRDefault="007F0E70">
      <w:pPr>
        <w:pStyle w:val="divparagraph"/>
        <w:rPr>
          <w:color w:val="auto"/>
        </w:rPr>
      </w:pPr>
      <w:r w:rsidRPr="006811C9">
        <w:rPr>
          <w:color w:val="auto"/>
        </w:rPr>
        <w:t xml:space="preserve">2. Dla przedsięwzięcia lub przedsięwzięć służących poprawie efektywności energetycznej, zakończonych przed dniem wejścia w życie ustawy, ale nie wcześniej niż przed dniem 1 stycznia 2014 r., dla których nie wydano świadectw efektywności energetycznej w rozumieniu ustawy uchylanej w art. 59, Prezes Urzędu Regulacji Energetyki wydaje świadectwa efektywności energetycznej, na wniosek podmiotu, u którego zostało zrealizowane to przedsięwzięcie lub te przedsięwzięcia, albo podmiotu upoważnionego przez ten podmiot, złożony w terminie 12 miesięcy od dnia wejścia w życie ustawy. Do wniosku o wydanie świadectw efektywności energetycznej należy dołączyć audyt efektywności energetycznej, o którym mowa w art. 25 ust. 1 </w:t>
      </w:r>
      <w:proofErr w:type="spellStart"/>
      <w:r w:rsidRPr="006811C9">
        <w:rPr>
          <w:color w:val="auto"/>
        </w:rPr>
        <w:t>pkt</w:t>
      </w:r>
      <w:proofErr w:type="spellEnd"/>
      <w:r w:rsidRPr="006811C9">
        <w:rPr>
          <w:color w:val="auto"/>
        </w:rPr>
        <w:t xml:space="preserve"> 5 lit. c. </w:t>
      </w:r>
    </w:p>
    <w:p w:rsidR="00A74160" w:rsidRPr="006811C9" w:rsidRDefault="00A74160">
      <w:pPr>
        <w:rPr>
          <w:rFonts w:ascii="Times New Roman" w:hAnsi="Times New Roman" w:cs="Times New Roman"/>
          <w:color w:val="auto"/>
          <w:sz w:val="24"/>
          <w:szCs w:val="24"/>
        </w:rPr>
      </w:pPr>
    </w:p>
    <w:p w:rsidR="00A74160" w:rsidRPr="006811C9" w:rsidRDefault="007F0E70">
      <w:pPr>
        <w:pStyle w:val="divparagraph"/>
        <w:rPr>
          <w:color w:val="auto"/>
        </w:rPr>
      </w:pPr>
      <w:r w:rsidRPr="006811C9">
        <w:rPr>
          <w:color w:val="auto"/>
        </w:rPr>
        <w:t>3. Świadectwa efektywności energetycznej, o których mowa w ust. 2, Prezes Urzędu Regulacji Energetyki umarza w całości lub części, na wniosek podmiotu zobowiązanego, do dnia 30 czerwca danego roku kalendarzowego; świadectwa te uwzględnia się przy rozliczeniu wykonania obowiązku określonego w art. 10 ust. 1 za rok kalendarzowy, w którym zostało ono wydane.</w:t>
      </w:r>
    </w:p>
    <w:p w:rsidR="00A74160" w:rsidRPr="006811C9" w:rsidRDefault="00A74160">
      <w:pPr>
        <w:rPr>
          <w:rFonts w:ascii="Times New Roman" w:hAnsi="Times New Roman" w:cs="Times New Roman"/>
          <w:color w:val="auto"/>
          <w:sz w:val="24"/>
          <w:szCs w:val="24"/>
        </w:rPr>
      </w:pPr>
    </w:p>
    <w:p w:rsidR="00A74160" w:rsidRPr="006811C9" w:rsidRDefault="007F0E70">
      <w:pPr>
        <w:pStyle w:val="divparagraph"/>
        <w:rPr>
          <w:color w:val="auto"/>
        </w:rPr>
      </w:pPr>
      <w:r w:rsidRPr="006811C9">
        <w:rPr>
          <w:color w:val="auto"/>
        </w:rPr>
        <w:t>4. Przepisy art. 20-23 stosuje się odpowiednio do wydawania świadectw, o których mowa w ust. 2.</w:t>
      </w:r>
    </w:p>
    <w:p w:rsidR="00A74160" w:rsidRPr="006811C9" w:rsidRDefault="00A74160">
      <w:pPr>
        <w:rPr>
          <w:rFonts w:ascii="Times New Roman" w:hAnsi="Times New Roman" w:cs="Times New Roman"/>
          <w:color w:val="auto"/>
          <w:sz w:val="24"/>
          <w:szCs w:val="24"/>
        </w:rPr>
      </w:pPr>
    </w:p>
    <w:p w:rsidR="00A74160" w:rsidRPr="006811C9" w:rsidRDefault="007F0E70">
      <w:pPr>
        <w:rPr>
          <w:color w:val="auto"/>
        </w:rPr>
      </w:pPr>
      <w:r w:rsidRPr="006811C9">
        <w:rPr>
          <w:b/>
          <w:bCs/>
          <w:color w:val="auto"/>
        </w:rPr>
        <w:t xml:space="preserve">Art. 58 [Obowiązywanie przepisów wykonawczych] </w:t>
      </w:r>
    </w:p>
    <w:p w:rsidR="00A74160" w:rsidRPr="006811C9" w:rsidRDefault="00A74160">
      <w:pPr>
        <w:rPr>
          <w:rFonts w:ascii="Times New Roman" w:hAnsi="Times New Roman" w:cs="Times New Roman"/>
          <w:color w:val="auto"/>
          <w:sz w:val="24"/>
          <w:szCs w:val="24"/>
        </w:rPr>
      </w:pPr>
    </w:p>
    <w:p w:rsidR="00A74160" w:rsidRPr="006811C9" w:rsidRDefault="007F0E70">
      <w:pPr>
        <w:pStyle w:val="divparagraph"/>
        <w:rPr>
          <w:color w:val="auto"/>
        </w:rPr>
      </w:pPr>
      <w:r w:rsidRPr="006811C9">
        <w:rPr>
          <w:color w:val="auto"/>
        </w:rPr>
        <w:t xml:space="preserve">1. Dotychczasowe przepisy wykonawcze wydane na podstawie art. 28 ust. 6 ustawy uchylanej w art. 59 zachowują moc do dnia wejścia w życie przepisów wykonawczych wydanych na podstawie art. 29, nie dłużej jednak niż 12 miesięcy od dnia wejścia w życie ustawy. </w:t>
      </w:r>
    </w:p>
    <w:p w:rsidR="00A74160" w:rsidRPr="006811C9" w:rsidRDefault="00A74160">
      <w:pPr>
        <w:rPr>
          <w:rFonts w:ascii="Times New Roman" w:hAnsi="Times New Roman" w:cs="Times New Roman"/>
          <w:color w:val="auto"/>
          <w:sz w:val="24"/>
          <w:szCs w:val="24"/>
        </w:rPr>
      </w:pPr>
    </w:p>
    <w:p w:rsidR="00A74160" w:rsidRPr="006811C9" w:rsidRDefault="007F0E70">
      <w:pPr>
        <w:pStyle w:val="divparagraph"/>
        <w:rPr>
          <w:color w:val="auto"/>
        </w:rPr>
      </w:pPr>
      <w:r w:rsidRPr="006811C9">
        <w:rPr>
          <w:color w:val="auto"/>
        </w:rPr>
        <w:t>2. Dotychczasowe przepisy wykonawcze wydane na podstawie art. 46 ust. 1, 3 i 5 ustawy z dnia 10 kwietnia 1997 r. - Prawo energetyczne zachowują moc do dnia wejścia w życie nowych przepisów wykonawczych, nie dłużej jednak niż 18 miesięcy od dnia wejścia w życie ustawy.</w:t>
      </w:r>
    </w:p>
    <w:p w:rsidR="00A74160" w:rsidRPr="006811C9" w:rsidRDefault="00A74160">
      <w:pPr>
        <w:rPr>
          <w:rFonts w:ascii="Times New Roman" w:hAnsi="Times New Roman" w:cs="Times New Roman"/>
          <w:color w:val="auto"/>
          <w:sz w:val="24"/>
          <w:szCs w:val="24"/>
        </w:rPr>
      </w:pPr>
    </w:p>
    <w:p w:rsidR="00A74160" w:rsidRPr="006811C9" w:rsidRDefault="00A74160">
      <w:pPr>
        <w:rPr>
          <w:rFonts w:ascii="Times New Roman" w:hAnsi="Times New Roman" w:cs="Times New Roman"/>
          <w:color w:val="auto"/>
          <w:sz w:val="24"/>
          <w:szCs w:val="24"/>
        </w:rPr>
      </w:pPr>
    </w:p>
    <w:p w:rsidR="00A74160" w:rsidRPr="006811C9" w:rsidRDefault="007F0E70">
      <w:pPr>
        <w:pStyle w:val="h1chapter"/>
        <w:rPr>
          <w:b w:val="0"/>
          <w:bCs w:val="0"/>
          <w:color w:val="auto"/>
        </w:rPr>
      </w:pPr>
      <w:r w:rsidRPr="006811C9">
        <w:rPr>
          <w:color w:val="auto"/>
        </w:rPr>
        <w:t xml:space="preserve">Rozdział 9. Przepisy końcowe. </w:t>
      </w:r>
    </w:p>
    <w:p w:rsidR="00A74160" w:rsidRPr="006811C9" w:rsidRDefault="00A74160">
      <w:pPr>
        <w:rPr>
          <w:rFonts w:ascii="Times New Roman" w:hAnsi="Times New Roman" w:cs="Times New Roman"/>
          <w:color w:val="auto"/>
          <w:sz w:val="24"/>
          <w:szCs w:val="24"/>
        </w:rPr>
      </w:pPr>
    </w:p>
    <w:p w:rsidR="00A74160" w:rsidRPr="006811C9" w:rsidRDefault="00A74160">
      <w:pPr>
        <w:rPr>
          <w:rFonts w:ascii="Times New Roman" w:hAnsi="Times New Roman" w:cs="Times New Roman"/>
          <w:color w:val="auto"/>
          <w:sz w:val="24"/>
          <w:szCs w:val="24"/>
        </w:rPr>
      </w:pPr>
    </w:p>
    <w:p w:rsidR="00A74160" w:rsidRPr="006811C9" w:rsidRDefault="007F0E70">
      <w:pPr>
        <w:rPr>
          <w:color w:val="auto"/>
        </w:rPr>
      </w:pPr>
      <w:r w:rsidRPr="006811C9">
        <w:rPr>
          <w:b/>
          <w:bCs/>
          <w:color w:val="auto"/>
        </w:rPr>
        <w:t xml:space="preserve">Art. 59 [Derogacja] </w:t>
      </w:r>
      <w:r w:rsidRPr="006811C9">
        <w:rPr>
          <w:color w:val="auto"/>
        </w:rPr>
        <w:t>Traci moc ustawa z dnia 15 kwietnia 2011 r. o efektywności energetycznej (</w:t>
      </w:r>
      <w:proofErr w:type="spellStart"/>
      <w:r w:rsidRPr="006811C9">
        <w:rPr>
          <w:color w:val="auto"/>
        </w:rPr>
        <w:t>Dz.U</w:t>
      </w:r>
      <w:proofErr w:type="spellEnd"/>
      <w:r w:rsidRPr="006811C9">
        <w:rPr>
          <w:color w:val="auto"/>
        </w:rPr>
        <w:t>. z 2015 r. poz. 2167 i 2359 oraz z 2016 r. poz. 266).</w:t>
      </w:r>
    </w:p>
    <w:p w:rsidR="00A74160" w:rsidRPr="006811C9" w:rsidRDefault="00A74160">
      <w:pPr>
        <w:rPr>
          <w:rFonts w:ascii="Times New Roman" w:hAnsi="Times New Roman" w:cs="Times New Roman"/>
          <w:color w:val="auto"/>
          <w:sz w:val="24"/>
          <w:szCs w:val="24"/>
        </w:rPr>
      </w:pPr>
    </w:p>
    <w:p w:rsidR="00A74160" w:rsidRPr="006811C9" w:rsidRDefault="007F0E70">
      <w:pPr>
        <w:rPr>
          <w:color w:val="auto"/>
        </w:rPr>
      </w:pPr>
      <w:r w:rsidRPr="006811C9">
        <w:rPr>
          <w:b/>
          <w:bCs/>
          <w:color w:val="auto"/>
        </w:rPr>
        <w:t xml:space="preserve">Art. 60 [Wejście w życie] </w:t>
      </w:r>
      <w:r w:rsidRPr="006811C9">
        <w:rPr>
          <w:color w:val="auto"/>
        </w:rPr>
        <w:t>Ustawa wchodzi w życie z dniem 1 października 2016 r.</w:t>
      </w:r>
    </w:p>
    <w:p w:rsidR="00A74160" w:rsidRPr="006811C9" w:rsidRDefault="00A74160">
      <w:pPr>
        <w:spacing w:line="800" w:lineRule="atLeast"/>
        <w:jc w:val="left"/>
        <w:rPr>
          <w:rFonts w:ascii="Times New Roman" w:hAnsi="Times New Roman" w:cs="Times New Roman"/>
          <w:color w:val="auto"/>
          <w:sz w:val="24"/>
          <w:szCs w:val="24"/>
        </w:rPr>
      </w:pPr>
    </w:p>
    <w:p w:rsidR="00A74160" w:rsidRPr="006811C9" w:rsidRDefault="00A74160">
      <w:pPr>
        <w:spacing w:line="800" w:lineRule="atLeast"/>
        <w:jc w:val="left"/>
        <w:rPr>
          <w:rFonts w:ascii="Times New Roman" w:hAnsi="Times New Roman" w:cs="Times New Roman"/>
          <w:color w:val="auto"/>
          <w:sz w:val="24"/>
          <w:szCs w:val="24"/>
        </w:rPr>
      </w:pPr>
    </w:p>
    <w:sectPr w:rsidR="00A74160" w:rsidRPr="006811C9" w:rsidSect="00A74160">
      <w:footerReference w:type="default" r:id="rId6"/>
      <w:pgSz w:w="11907" w:h="16840"/>
      <w:pgMar w:top="1400" w:right="1400" w:bottom="1400" w:left="14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160" w:rsidRDefault="007F0E70">
      <w:pPr>
        <w:spacing w:line="240" w:lineRule="auto"/>
      </w:pPr>
      <w:r>
        <w:separator/>
      </w:r>
    </w:p>
  </w:endnote>
  <w:endnote w:type="continuationSeparator" w:id="0">
    <w:p w:rsidR="00A74160" w:rsidRDefault="007F0E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60" w:rsidRDefault="00A74160">
    <w:pPr>
      <w:spacing w:line="320" w:lineRule="atLeas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160" w:rsidRDefault="007F0E70">
      <w:pPr>
        <w:spacing w:line="240" w:lineRule="auto"/>
      </w:pPr>
      <w:r>
        <w:separator/>
      </w:r>
    </w:p>
  </w:footnote>
  <w:footnote w:type="continuationSeparator" w:id="0">
    <w:p w:rsidR="00A74160" w:rsidRDefault="007F0E70">
      <w:pPr>
        <w:spacing w:line="240" w:lineRule="auto"/>
      </w:pPr>
      <w:r>
        <w:continuationSeparator/>
      </w:r>
    </w:p>
  </w:footnote>
  <w:footnote w:id="1">
    <w:p w:rsidR="007F0E70" w:rsidRDefault="007F0E7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w:t>
      </w:r>
      <w:r>
        <w:rPr>
          <w:rFonts w:ascii="Times New Roman" w:hAnsi="Times New Roman" w:cs="Times New Roman"/>
          <w:color w:val="auto"/>
          <w:sz w:val="24"/>
          <w:szCs w:val="24"/>
        </w:rPr>
        <w:t xml:space="preserve">   </w:t>
      </w:r>
      <w:r>
        <w:rPr>
          <w:sz w:val="16"/>
          <w:szCs w:val="16"/>
        </w:rPr>
        <w:t xml:space="preserve">Niniejsza ustawa wdraża dyrektywę Parlamentu Europejskiego i Rady 2012/27/UE z dnia 25 października 2012 r. w sprawie efektywności energetycznej, zmiany dyrektyw 2009/125/WE i 2010/30/UE oraz uchylenia dyrektyw 2004/8/WE i 2006/32/WE (Dz. Urz. UE L 315 z 14.11.2012, str. 1, z </w:t>
      </w:r>
      <w:proofErr w:type="spellStart"/>
      <w:r>
        <w:rPr>
          <w:sz w:val="16"/>
          <w:szCs w:val="16"/>
        </w:rPr>
        <w:t>późn</w:t>
      </w:r>
      <w:proofErr w:type="spellEnd"/>
      <w:r>
        <w:rPr>
          <w:sz w:val="16"/>
          <w:szCs w:val="16"/>
        </w:rPr>
        <w:t>. zm.).</w:t>
      </w:r>
    </w:p>
  </w:footnote>
  <w:footnote w:id="2">
    <w:p w:rsidR="007F0E70" w:rsidRDefault="007F0E7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w:t>
      </w:r>
      <w:r>
        <w:rPr>
          <w:rFonts w:ascii="Times New Roman" w:hAnsi="Times New Roman" w:cs="Times New Roman"/>
          <w:color w:val="auto"/>
          <w:sz w:val="24"/>
          <w:szCs w:val="24"/>
        </w:rPr>
        <w:t xml:space="preserve">   </w:t>
      </w:r>
      <w:r>
        <w:rPr>
          <w:sz w:val="16"/>
          <w:szCs w:val="16"/>
        </w:rPr>
        <w:t>Niniejszą ustawą zmienia się ustawy: ustawę z dnia 10 kwietnia 1997 r. - Prawo energetyczne, ustawę z dnia 26 października 2000 r. o giełdach towarowych, ustawę z dnia 27 kwietnia 2001 r. - Prawo ochrony środowiska, ustawę z dnia 29 stycznia 2004 r. - Prawo zamówień publicznych, ustawę z dnia 3 października 2008 r. o udostępnianiu informacji o środowisku i jego ochronie, udziale społeczeństwa w ochronie środowiska oraz o ocenach oddziaływania na środowisko, ustawę z dnia 29 grudnia 2015 r. o zmianie ustawy o efektywności energetycznej oraz uchyla się ustawę z dnia 15 kwietnia 2011 r. o efektywności energetycznej.</w:t>
      </w:r>
    </w:p>
  </w:footnote>
  <w:footnote w:id="3">
    <w:p w:rsidR="007F0E70" w:rsidRDefault="007F0E7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984 i 1238, z 2014 r. poz. 457, 490, 900, 942, 1101 i 1662, z 2015 r. poz. 151, 478, 942, 1618, 1893, 1960 i 2365 oraz z 2016 r. poz. 266.</w:t>
      </w:r>
    </w:p>
  </w:footnote>
  <w:footnote w:id="4">
    <w:p w:rsidR="007F0E70" w:rsidRDefault="007F0E7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w:t>
      </w:r>
      <w:r>
        <w:rPr>
          <w:rFonts w:ascii="Times New Roman" w:hAnsi="Times New Roman" w:cs="Times New Roman"/>
          <w:color w:val="auto"/>
          <w:sz w:val="24"/>
          <w:szCs w:val="24"/>
        </w:rPr>
        <w:t xml:space="preserve">   </w:t>
      </w:r>
      <w:r>
        <w:rPr>
          <w:sz w:val="16"/>
          <w:szCs w:val="16"/>
        </w:rPr>
        <w:t>Zmiany tekstu jednolitego wymienionej ustawy zostały ogłoszone w Dz. U. z 2014 r. poz. 293, 379, 435, 567, 616, 945, 1091, 1161, 1296, 1585, 1626, 1741 i 1924, z 2015 r. poz. 2, 4, 218, 539, 978, 1062, 1137, 1199, 1311, 1418, 1419, 1505, 1527, 1567, 1587, 1595, 1634, 1635, 1830 i 1854 oraz z 2016 r. poz. 195 i 437.</w:t>
      </w:r>
    </w:p>
  </w:footnote>
  <w:footnote w:id="5">
    <w:p w:rsidR="007F0E70" w:rsidRDefault="007F0E7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938 i 1646, z 2014 r. poz. 379, 911, 1146, 1626 i 1877, z 2015 r. poz. 238, 532, 1045, 1117, 1130, 1189, 1190, 1269, 1358, 1513, 1830, 1854, 1890 i 2150 oraz z 2016 r. poz. 195.</w:t>
      </w:r>
    </w:p>
  </w:footnote>
  <w:footnote w:id="6">
    <w:p w:rsidR="007F0E70" w:rsidRDefault="007F0E7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w:t>
      </w:r>
      <w:r>
        <w:rPr>
          <w:rFonts w:ascii="Times New Roman" w:hAnsi="Times New Roman" w:cs="Times New Roman"/>
          <w:color w:val="auto"/>
          <w:sz w:val="24"/>
          <w:szCs w:val="24"/>
        </w:rPr>
        <w:t xml:space="preserve">   </w:t>
      </w:r>
      <w:r>
        <w:rPr>
          <w:sz w:val="16"/>
          <w:szCs w:val="16"/>
        </w:rPr>
        <w:t>Zmiany tekstu jednolitego wymienionej ustawy zostały ogłoszone w Dz. U. z 2014 r. poz. 586, z 2015 r. poz. 73, 978, 1045, 1223, 1260, 1348, 1505, 1513, 1634, 1844 i 1890 oraz z 2016 r. poz. 65 i 615.</w:t>
      </w:r>
    </w:p>
  </w:footnote>
  <w:footnote w:id="7">
    <w:p w:rsidR="007F0E70" w:rsidRDefault="007F0E7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w:t>
      </w:r>
      <w:r>
        <w:rPr>
          <w:rFonts w:ascii="Times New Roman" w:hAnsi="Times New Roman" w:cs="Times New Roman"/>
          <w:color w:val="auto"/>
          <w:sz w:val="24"/>
          <w:szCs w:val="24"/>
        </w:rPr>
        <w:t xml:space="preserve">   </w:t>
      </w:r>
      <w:r>
        <w:rPr>
          <w:sz w:val="16"/>
          <w:szCs w:val="16"/>
        </w:rPr>
        <w:t>Zmiany tekstu jednolitego wymienionej ustawy zostały ogłoszone w Dz. U. z 2015 r. poz. 699, 875, 978, 1197, 1268, 1272, 1618, 1649, 1688, 1712, 1844 i 1893 oraz z 2016 r. poz. 65, 352 i 615.</w:t>
      </w:r>
    </w:p>
  </w:footnote>
  <w:footnote w:id="8">
    <w:p w:rsidR="007F0E70" w:rsidRDefault="007F0E7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w:t>
      </w:r>
      <w:r>
        <w:rPr>
          <w:rFonts w:ascii="Times New Roman" w:hAnsi="Times New Roman" w:cs="Times New Roman"/>
          <w:color w:val="auto"/>
          <w:sz w:val="24"/>
          <w:szCs w:val="24"/>
        </w:rPr>
        <w:t xml:space="preserve">   </w:t>
      </w:r>
      <w:r>
        <w:rPr>
          <w:sz w:val="16"/>
          <w:szCs w:val="16"/>
        </w:rPr>
        <w:t>Zmiany tekstu jednolitego wymienionej ustawy zostały ogłoszone w Dz. U. z 2015 r. poz. 699, 978, 1197, 1269, 1311, 1649, 1923, 1932 i 2184 oraz z 2016 r. poz. 195 i 615.</w:t>
      </w:r>
    </w:p>
  </w:footnote>
  <w:footnote w:id="9">
    <w:p w:rsidR="007F0E70" w:rsidRDefault="007F0E7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984 i 1238, z 2014 r. poz. 457, 490, 900, 942, 1101 i 1662, z 2015 r. poz. 151, 478, 942, 1618, 1893, 1960 i 2365 oraz z 2016 r. poz. 266.</w:t>
      </w:r>
    </w:p>
  </w:footnote>
  <w:footnote w:id="10">
    <w:p w:rsidR="007F0E70" w:rsidRDefault="007F0E7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984 i 1238, z 2014 r. poz. 457, 490, 900, 942, 1101 i 1662, z 2015 r. poz. 151, 478, 942, 1618, 1893, 1960 i 2365 oraz z 2016 r. poz. 266 i 831.</w:t>
      </w:r>
    </w:p>
  </w:footnote>
  <w:footnote w:id="11">
    <w:p w:rsidR="007F0E70" w:rsidRDefault="007F0E7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984 i 1238, z 2014 r. poz. 457, 490, 900, 942, 1101 i 1662, z 2015 r. poz. 151, 478, 942, 1618, 1893, 1960 i 2365 oraz z 2016 r. poz. 266 i 831.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E70"/>
    <w:rsid w:val="006811C9"/>
    <w:rsid w:val="007F0E70"/>
    <w:rsid w:val="00A741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styleId="Nagwek1">
    <w:name w:val="heading 1"/>
    <w:basedOn w:val="Normalny"/>
    <w:next w:val="Normalny"/>
    <w:link w:val="Nagwek1Znak"/>
    <w:uiPriority w:val="99"/>
    <w:qFormat/>
    <w:rsid w:val="00A74160"/>
    <w:pPr>
      <w:outlineLvl w:val="0"/>
    </w:pPr>
    <w:rPr>
      <w:b/>
      <w:bCs/>
      <w:sz w:val="32"/>
      <w:szCs w:val="32"/>
    </w:rPr>
  </w:style>
  <w:style w:type="paragraph" w:styleId="Nagwek2">
    <w:name w:val="heading 2"/>
    <w:basedOn w:val="Normalny"/>
    <w:next w:val="Normalny"/>
    <w:link w:val="Nagwek2Znak"/>
    <w:uiPriority w:val="99"/>
    <w:qFormat/>
    <w:rsid w:val="00A74160"/>
    <w:pPr>
      <w:outlineLvl w:val="1"/>
    </w:pPr>
    <w:rPr>
      <w:b/>
      <w:bCs/>
      <w:i/>
      <w:iCs/>
      <w:sz w:val="28"/>
      <w:szCs w:val="28"/>
    </w:rPr>
  </w:style>
  <w:style w:type="paragraph" w:styleId="Nagwek3">
    <w:name w:val="heading 3"/>
    <w:basedOn w:val="Normalny"/>
    <w:next w:val="Normalny"/>
    <w:link w:val="Nagwek3Znak"/>
    <w:uiPriority w:val="99"/>
    <w:qFormat/>
    <w:rsid w:val="00A74160"/>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mnohead">
    <w:name w:val=".komnohead"/>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ivsyspart">
    <w:name w:val="div.syspart"/>
    <w:uiPriority w:val="99"/>
    <w:rsid w:val="00A74160"/>
    <w:pPr>
      <w:widowControl w:val="0"/>
      <w:autoSpaceDE w:val="0"/>
      <w:autoSpaceDN w:val="0"/>
      <w:adjustRightInd w:val="0"/>
      <w:spacing w:before="80" w:after="80" w:line="40" w:lineRule="atLeast"/>
      <w:jc w:val="both"/>
    </w:pPr>
    <w:rPr>
      <w:rFonts w:ascii="Helvetica" w:hAnsi="Helvetica" w:cs="Helvetica"/>
      <w:color w:val="000000"/>
      <w:sz w:val="18"/>
      <w:szCs w:val="18"/>
    </w:rPr>
  </w:style>
  <w:style w:type="paragraph" w:customStyle="1" w:styleId="h3proms">
    <w:name w:val="h3.proms"/>
    <w:uiPriority w:val="99"/>
    <w:rsid w:val="00A74160"/>
    <w:pPr>
      <w:widowControl w:val="0"/>
      <w:autoSpaceDE w:val="0"/>
      <w:autoSpaceDN w:val="0"/>
      <w:adjustRightInd w:val="0"/>
      <w:spacing w:before="240" w:after="0" w:line="40" w:lineRule="atLeast"/>
      <w:jc w:val="both"/>
    </w:pPr>
    <w:rPr>
      <w:rFonts w:ascii="Helvetica" w:hAnsi="Helvetica" w:cs="Helvetica"/>
      <w:b/>
      <w:bCs/>
      <w:color w:val="000000"/>
      <w:sz w:val="18"/>
      <w:szCs w:val="18"/>
    </w:rPr>
  </w:style>
  <w:style w:type="paragraph" w:customStyle="1" w:styleId="czasoplinks">
    <w:name w:val=".czasoplinks"/>
    <w:uiPriority w:val="99"/>
    <w:rsid w:val="00A74160"/>
    <w:pPr>
      <w:widowControl w:val="0"/>
      <w:autoSpaceDE w:val="0"/>
      <w:autoSpaceDN w:val="0"/>
      <w:adjustRightInd w:val="0"/>
      <w:spacing w:after="0" w:line="40" w:lineRule="atLeast"/>
      <w:ind w:left="60" w:right="60"/>
      <w:jc w:val="both"/>
    </w:pPr>
    <w:rPr>
      <w:rFonts w:ascii="Helvetica" w:hAnsi="Helvetica" w:cs="Helvetica"/>
      <w:color w:val="000000"/>
      <w:sz w:val="18"/>
      <w:szCs w:val="18"/>
    </w:rPr>
  </w:style>
  <w:style w:type="paragraph" w:customStyle="1" w:styleId="beckstartbox">
    <w:name w:val=".beckstartbox"/>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odstawaprawna">
    <w:name w:val=".podstawaprawna"/>
    <w:uiPriority w:val="99"/>
    <w:rsid w:val="00A74160"/>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equation">
    <w:name w:val="div.equation"/>
    <w:uiPriority w:val="99"/>
    <w:rsid w:val="00A74160"/>
    <w:pPr>
      <w:widowControl w:val="0"/>
      <w:autoSpaceDE w:val="0"/>
      <w:autoSpaceDN w:val="0"/>
      <w:adjustRightInd w:val="0"/>
      <w:spacing w:before="120" w:after="120" w:line="40" w:lineRule="atLeast"/>
      <w:ind w:left="120" w:right="120"/>
      <w:jc w:val="center"/>
    </w:pPr>
    <w:rPr>
      <w:rFonts w:ascii="Helvetica" w:hAnsi="Helvetica" w:cs="Helvetica"/>
      <w:color w:val="000000"/>
      <w:sz w:val="18"/>
      <w:szCs w:val="18"/>
    </w:rPr>
  </w:style>
  <w:style w:type="paragraph" w:customStyle="1" w:styleId="krok">
    <w:name w:val=".krok"/>
    <w:uiPriority w:val="99"/>
    <w:rsid w:val="00A74160"/>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przypis">
    <w:name w:val="przypis"/>
    <w:uiPriority w:val="99"/>
    <w:rsid w:val="00A74160"/>
    <w:pPr>
      <w:widowControl w:val="0"/>
      <w:autoSpaceDE w:val="0"/>
      <w:autoSpaceDN w:val="0"/>
      <w:adjustRightInd w:val="0"/>
      <w:spacing w:after="120" w:line="240" w:lineRule="auto"/>
    </w:pPr>
    <w:rPr>
      <w:rFonts w:ascii="Helvetica" w:hAnsi="Helvetica" w:cs="Helvetica"/>
      <w:color w:val="000000"/>
      <w:sz w:val="16"/>
      <w:szCs w:val="16"/>
    </w:rPr>
  </w:style>
  <w:style w:type="paragraph" w:customStyle="1" w:styleId="alinkzalacznik">
    <w:name w:val="a.linkzalacznik"/>
    <w:uiPriority w:val="99"/>
    <w:rsid w:val="00A74160"/>
    <w:pPr>
      <w:widowControl w:val="0"/>
      <w:autoSpaceDE w:val="0"/>
      <w:autoSpaceDN w:val="0"/>
      <w:adjustRightInd w:val="0"/>
      <w:spacing w:after="0" w:line="40" w:lineRule="atLeast"/>
      <w:jc w:val="both"/>
    </w:pPr>
    <w:rPr>
      <w:rFonts w:ascii="Helvetica" w:hAnsi="Helvetica" w:cs="Helvetica"/>
      <w:b/>
      <w:bCs/>
      <w:color w:val="000000"/>
      <w:sz w:val="14"/>
      <w:szCs w:val="14"/>
    </w:rPr>
  </w:style>
  <w:style w:type="paragraph" w:customStyle="1" w:styleId="divnumery-box">
    <w:name w:val="div.numery-box"/>
    <w:uiPriority w:val="99"/>
    <w:rsid w:val="00A74160"/>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commcont">
    <w:name w:val=".commcont"/>
    <w:uiPriority w:val="99"/>
    <w:rsid w:val="00A74160"/>
    <w:pPr>
      <w:widowControl w:val="0"/>
      <w:autoSpaceDE w:val="0"/>
      <w:autoSpaceDN w:val="0"/>
      <w:adjustRightInd w:val="0"/>
      <w:spacing w:before="60" w:after="0" w:line="40" w:lineRule="atLeast"/>
    </w:pPr>
    <w:rPr>
      <w:rFonts w:ascii="Helvetica" w:hAnsi="Helvetica" w:cs="Helvetica"/>
      <w:color w:val="000000"/>
      <w:sz w:val="18"/>
      <w:szCs w:val="18"/>
    </w:rPr>
  </w:style>
  <w:style w:type="paragraph" w:customStyle="1" w:styleId="plinkzalacznik">
    <w:name w:val="p.linkzalacznik"/>
    <w:uiPriority w:val="99"/>
    <w:rsid w:val="00A74160"/>
    <w:pPr>
      <w:widowControl w:val="0"/>
      <w:autoSpaceDE w:val="0"/>
      <w:autoSpaceDN w:val="0"/>
      <w:adjustRightInd w:val="0"/>
      <w:spacing w:before="80" w:after="0" w:line="40" w:lineRule="atLeast"/>
      <w:jc w:val="both"/>
    </w:pPr>
    <w:rPr>
      <w:rFonts w:ascii="Helvetica" w:hAnsi="Helvetica" w:cs="Helvetica"/>
      <w:color w:val="000000"/>
      <w:sz w:val="18"/>
      <w:szCs w:val="18"/>
    </w:rPr>
  </w:style>
  <w:style w:type="paragraph" w:customStyle="1" w:styleId="ramkawaznetresc">
    <w:name w:val=".ramkawaznetresc"/>
    <w:uiPriority w:val="99"/>
    <w:rsid w:val="00A74160"/>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odstep">
    <w:name w:val="div.odstep"/>
    <w:uiPriority w:val="99"/>
    <w:rsid w:val="00A74160"/>
    <w:pPr>
      <w:widowControl w:val="0"/>
      <w:autoSpaceDE w:val="0"/>
      <w:autoSpaceDN w:val="0"/>
      <w:adjustRightInd w:val="0"/>
      <w:spacing w:after="120" w:line="40" w:lineRule="atLeast"/>
      <w:jc w:val="both"/>
    </w:pPr>
    <w:rPr>
      <w:rFonts w:ascii="Helvetica" w:hAnsi="Helvetica" w:cs="Helvetica"/>
      <w:color w:val="000000"/>
      <w:sz w:val="18"/>
      <w:szCs w:val="18"/>
    </w:rPr>
  </w:style>
  <w:style w:type="character" w:customStyle="1" w:styleId="Nagwek1Znak">
    <w:name w:val="Nagłówek 1 Znak"/>
    <w:basedOn w:val="Domylnaczcionkaakapitu"/>
    <w:link w:val="Nagwek1"/>
    <w:uiPriority w:val="9"/>
    <w:rsid w:val="00A7416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A74160"/>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A74160"/>
    <w:rPr>
      <w:rFonts w:asciiTheme="majorHAnsi" w:eastAsiaTheme="majorEastAsia" w:hAnsiTheme="majorHAnsi" w:cstheme="majorBidi"/>
      <w:b/>
      <w:bCs/>
      <w:sz w:val="26"/>
      <w:szCs w:val="26"/>
    </w:rPr>
  </w:style>
  <w:style w:type="paragraph" w:customStyle="1" w:styleId="olbibpkt">
    <w:name w:val="ol.bibpkt"/>
    <w:uiPriority w:val="99"/>
    <w:rsid w:val="00A74160"/>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aurl-search-hit">
    <w:name w:val="a.url-search-hit"/>
    <w:uiPriority w:val="99"/>
    <w:rsid w:val="00A74160"/>
    <w:pPr>
      <w:widowControl w:val="0"/>
      <w:autoSpaceDE w:val="0"/>
      <w:autoSpaceDN w:val="0"/>
      <w:adjustRightInd w:val="0"/>
      <w:spacing w:before="20" w:after="20" w:line="40" w:lineRule="atLeast"/>
      <w:ind w:left="40" w:right="20"/>
      <w:jc w:val="both"/>
    </w:pPr>
    <w:rPr>
      <w:rFonts w:ascii="Helvetica" w:hAnsi="Helvetica" w:cs="Helvetica"/>
      <w:color w:val="000000"/>
      <w:sz w:val="12"/>
      <w:szCs w:val="12"/>
    </w:rPr>
  </w:style>
  <w:style w:type="paragraph" w:customStyle="1" w:styleId="komrow">
    <w:name w:val=".komrow"/>
    <w:uiPriority w:val="99"/>
    <w:rsid w:val="00A74160"/>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numerlink1">
    <w:name w:val=".numerlink1"/>
    <w:uiPriority w:val="99"/>
    <w:rsid w:val="00A74160"/>
    <w:pPr>
      <w:widowControl w:val="0"/>
      <w:autoSpaceDE w:val="0"/>
      <w:autoSpaceDN w:val="0"/>
      <w:adjustRightInd w:val="0"/>
      <w:spacing w:after="0" w:line="360" w:lineRule="atLeast"/>
      <w:ind w:right="100"/>
      <w:jc w:val="both"/>
    </w:pPr>
    <w:rPr>
      <w:rFonts w:ascii="Helvetica" w:hAnsi="Helvetica" w:cs="Helvetica"/>
      <w:color w:val="000000"/>
      <w:sz w:val="18"/>
      <w:szCs w:val="18"/>
    </w:rPr>
  </w:style>
  <w:style w:type="paragraph" w:customStyle="1" w:styleId="h2srodpodtytul9">
    <w:name w:val="h2.srodpodtytul9"/>
    <w:uiPriority w:val="99"/>
    <w:rsid w:val="00A74160"/>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rsysrule">
    <w:name w:val="hr.sys_rule"/>
    <w:uiPriority w:val="99"/>
    <w:rsid w:val="00A74160"/>
    <w:pPr>
      <w:widowControl w:val="0"/>
      <w:autoSpaceDE w:val="0"/>
      <w:autoSpaceDN w:val="0"/>
      <w:adjustRightInd w:val="0"/>
      <w:spacing w:before="60" w:after="60" w:line="40" w:lineRule="atLeast"/>
      <w:jc w:val="both"/>
    </w:pPr>
    <w:rPr>
      <w:rFonts w:ascii="Helvetica" w:hAnsi="Helvetica" w:cs="Helvetica"/>
      <w:color w:val="000000"/>
      <w:sz w:val="18"/>
      <w:szCs w:val="18"/>
    </w:rPr>
  </w:style>
  <w:style w:type="paragraph" w:customStyle="1" w:styleId="h3start">
    <w:name w:val="h3.start"/>
    <w:uiPriority w:val="99"/>
    <w:rsid w:val="00A74160"/>
    <w:pPr>
      <w:widowControl w:val="0"/>
      <w:autoSpaceDE w:val="0"/>
      <w:autoSpaceDN w:val="0"/>
      <w:adjustRightInd w:val="0"/>
      <w:spacing w:before="240" w:after="240" w:line="40" w:lineRule="atLeast"/>
      <w:ind w:left="240" w:right="240"/>
      <w:jc w:val="both"/>
    </w:pPr>
    <w:rPr>
      <w:rFonts w:ascii="Helvetica" w:hAnsi="Helvetica" w:cs="Helvetica"/>
      <w:b/>
      <w:bCs/>
      <w:color w:val="B52022"/>
      <w:sz w:val="20"/>
      <w:szCs w:val="20"/>
    </w:rPr>
  </w:style>
  <w:style w:type="paragraph" w:customStyle="1" w:styleId="tabtransp">
    <w:name w:val=".tabtransp"/>
    <w:uiPriority w:val="99"/>
    <w:rsid w:val="00A74160"/>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readmore">
    <w:name w:val=".read_more"/>
    <w:uiPriority w:val="99"/>
    <w:rsid w:val="00A74160"/>
    <w:pPr>
      <w:widowControl w:val="0"/>
      <w:autoSpaceDE w:val="0"/>
      <w:autoSpaceDN w:val="0"/>
      <w:adjustRightInd w:val="0"/>
      <w:spacing w:before="40" w:after="40" w:line="40" w:lineRule="atLeast"/>
      <w:ind w:left="120"/>
      <w:jc w:val="both"/>
    </w:pPr>
    <w:rPr>
      <w:rFonts w:ascii="Helvetica" w:hAnsi="Helvetica" w:cs="Helvetica"/>
      <w:color w:val="000000"/>
      <w:sz w:val="18"/>
      <w:szCs w:val="18"/>
    </w:rPr>
  </w:style>
  <w:style w:type="paragraph" w:customStyle="1" w:styleId="bibshort">
    <w:name w:val=".bibshort"/>
    <w:uiPriority w:val="99"/>
    <w:rsid w:val="00A74160"/>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divquotblock">
    <w:name w:val="div.quotblock"/>
    <w:uiPriority w:val="99"/>
    <w:rsid w:val="00A74160"/>
    <w:pPr>
      <w:widowControl w:val="0"/>
      <w:autoSpaceDE w:val="0"/>
      <w:autoSpaceDN w:val="0"/>
      <w:adjustRightInd w:val="0"/>
      <w:spacing w:after="0" w:line="40" w:lineRule="atLeast"/>
      <w:jc w:val="both"/>
    </w:pPr>
    <w:rPr>
      <w:rFonts w:ascii="Helvetica" w:hAnsi="Helvetica" w:cs="Helvetica"/>
      <w:color w:val="00FF00"/>
      <w:sz w:val="18"/>
      <w:szCs w:val="18"/>
    </w:rPr>
  </w:style>
  <w:style w:type="paragraph" w:customStyle="1" w:styleId="pinf">
    <w:name w:val="p.inf"/>
    <w:uiPriority w:val="99"/>
    <w:rsid w:val="00A74160"/>
    <w:pPr>
      <w:widowControl w:val="0"/>
      <w:autoSpaceDE w:val="0"/>
      <w:autoSpaceDN w:val="0"/>
      <w:adjustRightInd w:val="0"/>
      <w:spacing w:after="0" w:line="40" w:lineRule="atLeast"/>
      <w:ind w:left="120"/>
      <w:jc w:val="both"/>
    </w:pPr>
    <w:rPr>
      <w:rFonts w:ascii="Helvetica" w:hAnsi="Helvetica" w:cs="Helvetica"/>
      <w:color w:val="000000"/>
      <w:sz w:val="18"/>
      <w:szCs w:val="18"/>
    </w:rPr>
  </w:style>
  <w:style w:type="paragraph" w:customStyle="1" w:styleId="tdmetcellheader1">
    <w:name w:val="td.metcellheader1"/>
    <w:uiPriority w:val="99"/>
    <w:rsid w:val="00A74160"/>
    <w:pPr>
      <w:widowControl w:val="0"/>
      <w:autoSpaceDE w:val="0"/>
      <w:autoSpaceDN w:val="0"/>
      <w:adjustRightInd w:val="0"/>
      <w:spacing w:after="60" w:line="40" w:lineRule="atLeast"/>
      <w:jc w:val="both"/>
    </w:pPr>
    <w:rPr>
      <w:rFonts w:ascii="Helvetica" w:hAnsi="Helvetica" w:cs="Helvetica"/>
      <w:b/>
      <w:bCs/>
      <w:color w:val="000000"/>
      <w:sz w:val="18"/>
      <w:szCs w:val="18"/>
    </w:rPr>
  </w:style>
  <w:style w:type="paragraph" w:customStyle="1" w:styleId="divpktnum">
    <w:name w:val="div.pktnum"/>
    <w:uiPriority w:val="99"/>
    <w:rsid w:val="00A74160"/>
    <w:pPr>
      <w:widowControl w:val="0"/>
      <w:autoSpaceDE w:val="0"/>
      <w:autoSpaceDN w:val="0"/>
      <w:adjustRightInd w:val="0"/>
      <w:spacing w:after="0" w:line="40" w:lineRule="atLeast"/>
      <w:ind w:right="40"/>
      <w:jc w:val="right"/>
    </w:pPr>
    <w:rPr>
      <w:rFonts w:ascii="Helvetica" w:hAnsi="Helvetica" w:cs="Helvetica"/>
      <w:b/>
      <w:bCs/>
      <w:color w:val="000000"/>
      <w:sz w:val="18"/>
      <w:szCs w:val="18"/>
    </w:rPr>
  </w:style>
  <w:style w:type="paragraph" w:customStyle="1" w:styleId="bookbannerimg">
    <w:name w:val=".bookbannerimg"/>
    <w:uiPriority w:val="99"/>
    <w:rsid w:val="00A74160"/>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lead">
    <w:name w:val=".lead"/>
    <w:uiPriority w:val="99"/>
    <w:rsid w:val="00A74160"/>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zmtable">
    <w:name w:val=".zmtable"/>
    <w:uiPriority w:val="99"/>
    <w:rsid w:val="00A74160"/>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h1frontpagenadpis">
    <w:name w:val="h1.frontpage_nadpis"/>
    <w:uiPriority w:val="99"/>
    <w:rsid w:val="00A74160"/>
    <w:pPr>
      <w:widowControl w:val="0"/>
      <w:autoSpaceDE w:val="0"/>
      <w:autoSpaceDN w:val="0"/>
      <w:adjustRightInd w:val="0"/>
      <w:spacing w:after="0" w:line="340" w:lineRule="atLeast"/>
      <w:jc w:val="both"/>
    </w:pPr>
    <w:rPr>
      <w:rFonts w:ascii="Helvetica" w:hAnsi="Helvetica" w:cs="Helvetica"/>
      <w:color w:val="000000"/>
      <w:sz w:val="28"/>
      <w:szCs w:val="28"/>
    </w:rPr>
  </w:style>
  <w:style w:type="paragraph" w:customStyle="1" w:styleId="ozdobnyspis">
    <w:name w:val=".ozdobnyspis"/>
    <w:uiPriority w:val="99"/>
    <w:rsid w:val="00A74160"/>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rPr>
  </w:style>
  <w:style w:type="paragraph" w:customStyle="1" w:styleId="divpktnum1">
    <w:name w:val="div.pktnum1"/>
    <w:uiPriority w:val="99"/>
    <w:rsid w:val="00A74160"/>
    <w:pPr>
      <w:widowControl w:val="0"/>
      <w:autoSpaceDE w:val="0"/>
      <w:autoSpaceDN w:val="0"/>
      <w:adjustRightInd w:val="0"/>
      <w:spacing w:after="0" w:line="40" w:lineRule="atLeast"/>
      <w:ind w:right="40"/>
      <w:jc w:val="right"/>
    </w:pPr>
    <w:rPr>
      <w:rFonts w:ascii="Helvetica" w:hAnsi="Helvetica" w:cs="Helvetica"/>
      <w:b/>
      <w:bCs/>
      <w:color w:val="000000"/>
      <w:sz w:val="18"/>
      <w:szCs w:val="18"/>
    </w:rPr>
  </w:style>
  <w:style w:type="paragraph" w:customStyle="1" w:styleId="h3modul">
    <w:name w:val="h3.modul"/>
    <w:uiPriority w:val="99"/>
    <w:rsid w:val="00A74160"/>
    <w:pPr>
      <w:widowControl w:val="0"/>
      <w:autoSpaceDE w:val="0"/>
      <w:autoSpaceDN w:val="0"/>
      <w:adjustRightInd w:val="0"/>
      <w:spacing w:before="20" w:after="20" w:line="40" w:lineRule="atLeast"/>
      <w:ind w:left="100" w:right="20"/>
      <w:jc w:val="both"/>
    </w:pPr>
    <w:rPr>
      <w:rFonts w:ascii="Helvetica" w:hAnsi="Helvetica" w:cs="Helvetica"/>
      <w:color w:val="000000"/>
      <w:sz w:val="12"/>
      <w:szCs w:val="12"/>
    </w:rPr>
  </w:style>
  <w:style w:type="paragraph" w:customStyle="1" w:styleId="divsystemspacer">
    <w:name w:val="div.systemspacer"/>
    <w:uiPriority w:val="99"/>
    <w:rsid w:val="00A74160"/>
    <w:pPr>
      <w:widowControl w:val="0"/>
      <w:autoSpaceDE w:val="0"/>
      <w:autoSpaceDN w:val="0"/>
      <w:adjustRightInd w:val="0"/>
      <w:spacing w:before="340" w:after="240" w:line="40" w:lineRule="atLeast"/>
      <w:jc w:val="both"/>
    </w:pPr>
    <w:rPr>
      <w:rFonts w:ascii="Helvetica" w:hAnsi="Helvetica" w:cs="Helvetica"/>
      <w:color w:val="000000"/>
      <w:sz w:val="18"/>
      <w:szCs w:val="18"/>
    </w:rPr>
  </w:style>
  <w:style w:type="paragraph" w:customStyle="1" w:styleId="h2legotitle">
    <w:name w:val="h2.lego_title"/>
    <w:uiPriority w:val="99"/>
    <w:rsid w:val="00A74160"/>
    <w:pPr>
      <w:widowControl w:val="0"/>
      <w:autoSpaceDE w:val="0"/>
      <w:autoSpaceDN w:val="0"/>
      <w:adjustRightInd w:val="0"/>
      <w:spacing w:before="120" w:after="120" w:line="240" w:lineRule="atLeast"/>
      <w:jc w:val="both"/>
    </w:pPr>
    <w:rPr>
      <w:rFonts w:ascii="Helvetica" w:hAnsi="Helvetica" w:cs="Helvetica"/>
      <w:color w:val="000000"/>
      <w:sz w:val="20"/>
      <w:szCs w:val="20"/>
    </w:rPr>
  </w:style>
  <w:style w:type="paragraph" w:customStyle="1" w:styleId="tablemain">
    <w:name w:val="table.main"/>
    <w:uiPriority w:val="99"/>
    <w:rsid w:val="00A74160"/>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tableindex">
    <w:name w:val="table.index"/>
    <w:uiPriority w:val="99"/>
    <w:rsid w:val="00A74160"/>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ramkaczarna">
    <w:name w:val=".ramkaczarna"/>
    <w:uiPriority w:val="99"/>
    <w:rsid w:val="00A74160"/>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document-fragment">
    <w:name w:val=".document-fragment"/>
    <w:uiPriority w:val="99"/>
    <w:rsid w:val="00A74160"/>
    <w:pPr>
      <w:widowControl w:val="0"/>
      <w:autoSpaceDE w:val="0"/>
      <w:autoSpaceDN w:val="0"/>
      <w:adjustRightInd w:val="0"/>
      <w:spacing w:after="0" w:line="40" w:lineRule="atLeast"/>
      <w:ind w:right="240"/>
      <w:jc w:val="both"/>
    </w:pPr>
    <w:rPr>
      <w:rFonts w:ascii="Helvetica" w:hAnsi="Helvetica" w:cs="Helvetica"/>
      <w:color w:val="000000"/>
      <w:sz w:val="18"/>
      <w:szCs w:val="18"/>
    </w:rPr>
  </w:style>
  <w:style w:type="paragraph" w:customStyle="1" w:styleId="divplaszczszczegol">
    <w:name w:val="div.plaszcz_szczegol"/>
    <w:uiPriority w:val="99"/>
    <w:rsid w:val="00A74160"/>
    <w:pPr>
      <w:widowControl w:val="0"/>
      <w:autoSpaceDE w:val="0"/>
      <w:autoSpaceDN w:val="0"/>
      <w:adjustRightInd w:val="0"/>
      <w:spacing w:after="0" w:line="40" w:lineRule="atLeast"/>
      <w:jc w:val="both"/>
    </w:pPr>
    <w:rPr>
      <w:rFonts w:ascii="Helvetica" w:hAnsi="Helvetica" w:cs="Helvetica"/>
      <w:color w:val="000000"/>
      <w:sz w:val="14"/>
      <w:szCs w:val="14"/>
    </w:rPr>
  </w:style>
  <w:style w:type="paragraph" w:customStyle="1" w:styleId="divpkt">
    <w:name w:val="div.pkt"/>
    <w:uiPriority w:val="99"/>
    <w:rsid w:val="00A74160"/>
    <w:pPr>
      <w:widowControl w:val="0"/>
      <w:autoSpaceDE w:val="0"/>
      <w:autoSpaceDN w:val="0"/>
      <w:adjustRightInd w:val="0"/>
      <w:spacing w:after="0" w:line="40" w:lineRule="atLeast"/>
      <w:ind w:left="240"/>
      <w:jc w:val="both"/>
    </w:pPr>
    <w:rPr>
      <w:rFonts w:ascii="Helvetica" w:hAnsi="Helvetica" w:cs="Helvetica"/>
      <w:color w:val="000000"/>
      <w:sz w:val="18"/>
      <w:szCs w:val="18"/>
    </w:rPr>
  </w:style>
  <w:style w:type="paragraph" w:customStyle="1" w:styleId="tablemodulmain">
    <w:name w:val="table.modulmain"/>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2srodtytul">
    <w:name w:val="h2.srodtytul"/>
    <w:uiPriority w:val="99"/>
    <w:rsid w:val="00A74160"/>
    <w:pPr>
      <w:widowControl w:val="0"/>
      <w:autoSpaceDE w:val="0"/>
      <w:autoSpaceDN w:val="0"/>
      <w:adjustRightInd w:val="0"/>
      <w:spacing w:before="140" w:after="140" w:line="40" w:lineRule="atLeast"/>
      <w:jc w:val="center"/>
    </w:pPr>
    <w:rPr>
      <w:rFonts w:ascii="Helvetica" w:hAnsi="Helvetica" w:cs="Helvetica"/>
      <w:color w:val="000000"/>
    </w:rPr>
  </w:style>
  <w:style w:type="paragraph" w:customStyle="1" w:styleId="ptoctitlenolink">
    <w:name w:val="p.toctitlenolink"/>
    <w:uiPriority w:val="99"/>
    <w:rsid w:val="00A74160"/>
    <w:pPr>
      <w:widowControl w:val="0"/>
      <w:autoSpaceDE w:val="0"/>
      <w:autoSpaceDN w:val="0"/>
      <w:adjustRightInd w:val="0"/>
      <w:spacing w:before="140" w:after="0" w:line="40" w:lineRule="atLeast"/>
      <w:ind w:left="80"/>
      <w:jc w:val="both"/>
    </w:pPr>
    <w:rPr>
      <w:rFonts w:ascii="Helvetica" w:hAnsi="Helvetica" w:cs="Helvetica"/>
      <w:b/>
      <w:bCs/>
      <w:color w:val="000000"/>
    </w:rPr>
  </w:style>
  <w:style w:type="paragraph" w:customStyle="1" w:styleId="pkttyt">
    <w:name w:val=".pkttyt"/>
    <w:uiPriority w:val="99"/>
    <w:rsid w:val="00A74160"/>
    <w:pPr>
      <w:widowControl w:val="0"/>
      <w:autoSpaceDE w:val="0"/>
      <w:autoSpaceDN w:val="0"/>
      <w:adjustRightInd w:val="0"/>
      <w:spacing w:after="60" w:line="40" w:lineRule="atLeast"/>
      <w:ind w:left="460" w:right="540" w:hanging="260"/>
      <w:jc w:val="both"/>
    </w:pPr>
    <w:rPr>
      <w:rFonts w:ascii="Helvetica" w:hAnsi="Helvetica" w:cs="Helvetica"/>
      <w:color w:val="000000"/>
      <w:sz w:val="18"/>
      <w:szCs w:val="18"/>
    </w:rPr>
  </w:style>
  <w:style w:type="paragraph" w:customStyle="1" w:styleId="h1chapter">
    <w:name w:val="h1.chapter"/>
    <w:uiPriority w:val="99"/>
    <w:rsid w:val="00A74160"/>
    <w:pPr>
      <w:widowControl w:val="0"/>
      <w:autoSpaceDE w:val="0"/>
      <w:autoSpaceDN w:val="0"/>
      <w:adjustRightInd w:val="0"/>
      <w:spacing w:before="180" w:after="0" w:line="180" w:lineRule="atLeast"/>
      <w:jc w:val="center"/>
    </w:pPr>
    <w:rPr>
      <w:rFonts w:ascii="Helvetica" w:hAnsi="Helvetica" w:cs="Helvetica"/>
      <w:b/>
      <w:bCs/>
      <w:color w:val="000000"/>
      <w:sz w:val="18"/>
      <w:szCs w:val="18"/>
    </w:rPr>
  </w:style>
  <w:style w:type="paragraph" w:customStyle="1" w:styleId="bibtable">
    <w:name w:val=".bibtable"/>
    <w:uiPriority w:val="99"/>
    <w:rsid w:val="00A74160"/>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booktitlefrontpage">
    <w:name w:val=".booktitlefrontpage"/>
    <w:uiPriority w:val="99"/>
    <w:rsid w:val="00A74160"/>
    <w:pPr>
      <w:widowControl w:val="0"/>
      <w:autoSpaceDE w:val="0"/>
      <w:autoSpaceDN w:val="0"/>
      <w:adjustRightInd w:val="0"/>
      <w:spacing w:before="1160" w:after="0" w:line="360" w:lineRule="atLeast"/>
      <w:ind w:left="660"/>
      <w:jc w:val="center"/>
    </w:pPr>
    <w:rPr>
      <w:rFonts w:ascii="Helvetica" w:hAnsi="Helvetica" w:cs="Helvetica"/>
      <w:color w:val="000000"/>
      <w:sz w:val="26"/>
      <w:szCs w:val="26"/>
    </w:rPr>
  </w:style>
  <w:style w:type="paragraph" w:customStyle="1" w:styleId="beckstartboxinfor">
    <w:name w:val=".beckstartboxinfor"/>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oc">
    <w:name w:val=".doc"/>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dmetricauthor">
    <w:name w:val="td.metric_author"/>
    <w:uiPriority w:val="99"/>
    <w:rsid w:val="00A74160"/>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tableinfoakt">
    <w:name w:val="table.infoakt"/>
    <w:uiPriority w:val="99"/>
    <w:rsid w:val="00A74160"/>
    <w:pPr>
      <w:widowControl w:val="0"/>
      <w:autoSpaceDE w:val="0"/>
      <w:autoSpaceDN w:val="0"/>
      <w:adjustRightInd w:val="0"/>
      <w:spacing w:after="0" w:line="40" w:lineRule="atLeast"/>
      <w:jc w:val="both"/>
    </w:pPr>
    <w:rPr>
      <w:rFonts w:ascii="Helvetica" w:hAnsi="Helvetica" w:cs="Helvetica"/>
      <w:color w:val="000000"/>
      <w:sz w:val="12"/>
      <w:szCs w:val="12"/>
    </w:rPr>
  </w:style>
  <w:style w:type="paragraph" w:customStyle="1" w:styleId="tablebeckstartprawomiejscowe">
    <w:name w:val="table.beckstartprawomiejscowe"/>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ablekomentarzowa">
    <w:name w:val="table.komentarzowa"/>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ivpara">
    <w:name w:val="div.para"/>
    <w:uiPriority w:val="99"/>
    <w:rsid w:val="00A74160"/>
    <w:pPr>
      <w:widowControl w:val="0"/>
      <w:autoSpaceDE w:val="0"/>
      <w:autoSpaceDN w:val="0"/>
      <w:adjustRightInd w:val="0"/>
      <w:spacing w:before="80" w:after="0" w:line="40" w:lineRule="atLeast"/>
      <w:ind w:right="540"/>
      <w:jc w:val="both"/>
    </w:pPr>
    <w:rPr>
      <w:rFonts w:ascii="Helvetica" w:hAnsi="Helvetica" w:cs="Helvetica"/>
      <w:color w:val="000000"/>
      <w:sz w:val="18"/>
      <w:szCs w:val="18"/>
    </w:rPr>
  </w:style>
  <w:style w:type="paragraph" w:customStyle="1" w:styleId="tempdoclink">
    <w:name w:val=".temp_doc_link"/>
    <w:uiPriority w:val="99"/>
    <w:rsid w:val="00A74160"/>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beckstartboxinforreplace">
    <w:name w:val=".beckstartboxinforreplace"/>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leftnote">
    <w:name w:val=".leftnote"/>
    <w:uiPriority w:val="99"/>
    <w:rsid w:val="00A74160"/>
    <w:pPr>
      <w:widowControl w:val="0"/>
      <w:autoSpaceDE w:val="0"/>
      <w:autoSpaceDN w:val="0"/>
      <w:adjustRightInd w:val="0"/>
      <w:spacing w:before="80" w:after="0" w:line="40" w:lineRule="atLeast"/>
      <w:ind w:right="100"/>
      <w:jc w:val="right"/>
    </w:pPr>
    <w:rPr>
      <w:rFonts w:ascii="Helvetica" w:hAnsi="Helvetica" w:cs="Helvetica"/>
      <w:b/>
      <w:bCs/>
      <w:color w:val="808080"/>
      <w:sz w:val="18"/>
      <w:szCs w:val="18"/>
    </w:rPr>
  </w:style>
  <w:style w:type="paragraph" w:customStyle="1" w:styleId="tdlegoright">
    <w:name w:val="td.lego_right"/>
    <w:uiPriority w:val="99"/>
    <w:rsid w:val="00A74160"/>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tdstart">
    <w:name w:val="td.start"/>
    <w:uiPriority w:val="99"/>
    <w:rsid w:val="00A74160"/>
    <w:pPr>
      <w:widowControl w:val="0"/>
      <w:autoSpaceDE w:val="0"/>
      <w:autoSpaceDN w:val="0"/>
      <w:adjustRightInd w:val="0"/>
      <w:spacing w:after="0" w:line="40" w:lineRule="atLeast"/>
      <w:jc w:val="both"/>
    </w:pPr>
    <w:rPr>
      <w:rFonts w:ascii="Helvetica" w:hAnsi="Helvetica" w:cs="Helvetica"/>
      <w:b/>
      <w:bCs/>
      <w:color w:val="FFFFFF"/>
      <w:sz w:val="18"/>
      <w:szCs w:val="18"/>
    </w:rPr>
  </w:style>
  <w:style w:type="paragraph" w:customStyle="1" w:styleId="tdmetcellright1">
    <w:name w:val="td.metcellright1"/>
    <w:uiPriority w:val="99"/>
    <w:rsid w:val="00A74160"/>
    <w:pPr>
      <w:widowControl w:val="0"/>
      <w:autoSpaceDE w:val="0"/>
      <w:autoSpaceDN w:val="0"/>
      <w:adjustRightInd w:val="0"/>
      <w:spacing w:after="0" w:line="40" w:lineRule="atLeast"/>
      <w:ind w:left="120"/>
      <w:jc w:val="right"/>
    </w:pPr>
    <w:rPr>
      <w:rFonts w:ascii="Helvetica" w:hAnsi="Helvetica" w:cs="Helvetica"/>
      <w:color w:val="000000"/>
      <w:sz w:val="18"/>
      <w:szCs w:val="18"/>
    </w:rPr>
  </w:style>
  <w:style w:type="paragraph" w:customStyle="1" w:styleId="tablestartheader">
    <w:name w:val="table.startheader"/>
    <w:uiPriority w:val="99"/>
    <w:rsid w:val="00A74160"/>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divceneteredimage">
    <w:name w:val="div.ceneteredimage"/>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ivorientacyjna">
    <w:name w:val="div.orientacyjna"/>
    <w:uiPriority w:val="99"/>
    <w:rsid w:val="00A74160"/>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4proms">
    <w:name w:val="h4.proms"/>
    <w:uiPriority w:val="99"/>
    <w:rsid w:val="00A74160"/>
    <w:pPr>
      <w:widowControl w:val="0"/>
      <w:autoSpaceDE w:val="0"/>
      <w:autoSpaceDN w:val="0"/>
      <w:adjustRightInd w:val="0"/>
      <w:spacing w:before="180" w:after="180" w:line="40" w:lineRule="atLeast"/>
      <w:ind w:left="180" w:right="180"/>
      <w:jc w:val="both"/>
    </w:pPr>
    <w:rPr>
      <w:rFonts w:ascii="Helvetica" w:hAnsi="Helvetica" w:cs="Helvetica"/>
      <w:color w:val="666666"/>
      <w:sz w:val="18"/>
      <w:szCs w:val="18"/>
    </w:rPr>
  </w:style>
  <w:style w:type="paragraph" w:customStyle="1" w:styleId="p">
    <w:name w:val="p"/>
    <w:uiPriority w:val="99"/>
    <w:rsid w:val="00A74160"/>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divartcont">
    <w:name w:val="div.artcont"/>
    <w:uiPriority w:val="99"/>
    <w:rsid w:val="00A74160"/>
    <w:pPr>
      <w:widowControl w:val="0"/>
      <w:autoSpaceDE w:val="0"/>
      <w:autoSpaceDN w:val="0"/>
      <w:adjustRightInd w:val="0"/>
      <w:spacing w:before="80" w:after="0" w:line="220" w:lineRule="atLeast"/>
      <w:jc w:val="both"/>
    </w:pPr>
    <w:rPr>
      <w:rFonts w:ascii="Helvetica" w:hAnsi="Helvetica" w:cs="Helvetica"/>
      <w:b/>
      <w:bCs/>
      <w:color w:val="000000"/>
      <w:sz w:val="18"/>
      <w:szCs w:val="18"/>
    </w:rPr>
  </w:style>
  <w:style w:type="paragraph" w:customStyle="1" w:styleId="spanstrona">
    <w:name w:val="span.strona"/>
    <w:uiPriority w:val="99"/>
    <w:rsid w:val="00A74160"/>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beckstartbox1">
    <w:name w:val=".beckstartbox1"/>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modul">
    <w:name w:val="p.modul"/>
    <w:uiPriority w:val="99"/>
    <w:rsid w:val="00A74160"/>
    <w:pPr>
      <w:widowControl w:val="0"/>
      <w:autoSpaceDE w:val="0"/>
      <w:autoSpaceDN w:val="0"/>
      <w:adjustRightInd w:val="0"/>
      <w:spacing w:after="0" w:line="40" w:lineRule="atLeast"/>
      <w:jc w:val="both"/>
    </w:pPr>
    <w:rPr>
      <w:rFonts w:ascii="Helvetica" w:hAnsi="Helvetica" w:cs="Helvetica"/>
      <w:b/>
      <w:bCs/>
      <w:color w:val="000000"/>
      <w:sz w:val="16"/>
      <w:szCs w:val="16"/>
    </w:rPr>
  </w:style>
  <w:style w:type="paragraph" w:customStyle="1" w:styleId="ramkawaznenazwa">
    <w:name w:val=".ramkawaznenazwa"/>
    <w:uiPriority w:val="99"/>
    <w:rsid w:val="00A74160"/>
    <w:pPr>
      <w:widowControl w:val="0"/>
      <w:autoSpaceDE w:val="0"/>
      <w:autoSpaceDN w:val="0"/>
      <w:adjustRightInd w:val="0"/>
      <w:spacing w:after="0" w:line="40" w:lineRule="atLeast"/>
      <w:ind w:left="60" w:right="60"/>
      <w:jc w:val="both"/>
    </w:pPr>
    <w:rPr>
      <w:rFonts w:ascii="Helvetica" w:hAnsi="Helvetica" w:cs="Helvetica"/>
      <w:b/>
      <w:bCs/>
      <w:color w:val="FFFFFF"/>
      <w:sz w:val="18"/>
      <w:szCs w:val="18"/>
    </w:rPr>
  </w:style>
  <w:style w:type="paragraph" w:customStyle="1" w:styleId="divabstract">
    <w:name w:val="div.abstract"/>
    <w:uiPriority w:val="99"/>
    <w:rsid w:val="00A74160"/>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ptocpagenum">
    <w:name w:val="p.tocpagenum"/>
    <w:uiPriority w:val="99"/>
    <w:rsid w:val="00A74160"/>
    <w:pPr>
      <w:widowControl w:val="0"/>
      <w:autoSpaceDE w:val="0"/>
      <w:autoSpaceDN w:val="0"/>
      <w:adjustRightInd w:val="0"/>
      <w:spacing w:after="0" w:line="40" w:lineRule="atLeast"/>
      <w:jc w:val="right"/>
    </w:pPr>
    <w:rPr>
      <w:rFonts w:ascii="Helvetica" w:hAnsi="Helvetica" w:cs="Helvetica"/>
      <w:color w:val="000000"/>
      <w:sz w:val="18"/>
      <w:szCs w:val="18"/>
    </w:rPr>
  </w:style>
  <w:style w:type="paragraph" w:customStyle="1" w:styleId="ulorzlistawyrozniona">
    <w:name w:val="ul.orz_lista_wyrozniona"/>
    <w:uiPriority w:val="99"/>
    <w:rsid w:val="00A74160"/>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msonormaltable0">
    <w:name w:val=".msonormaltable"/>
    <w:uiPriority w:val="99"/>
    <w:rsid w:val="00A74160"/>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trmetrow">
    <w:name w:val="tr.metrow"/>
    <w:uiPriority w:val="99"/>
    <w:rsid w:val="00A74160"/>
    <w:pPr>
      <w:widowControl w:val="0"/>
      <w:autoSpaceDE w:val="0"/>
      <w:autoSpaceDN w:val="0"/>
      <w:adjustRightInd w:val="0"/>
      <w:spacing w:before="20" w:after="20" w:line="40" w:lineRule="atLeast"/>
      <w:ind w:left="20" w:right="20"/>
      <w:jc w:val="both"/>
    </w:pPr>
    <w:rPr>
      <w:rFonts w:ascii="Helvetica" w:hAnsi="Helvetica" w:cs="Helvetica"/>
      <w:color w:val="000000"/>
      <w:sz w:val="12"/>
      <w:szCs w:val="12"/>
    </w:rPr>
  </w:style>
  <w:style w:type="paragraph" w:customStyle="1" w:styleId="divbookpunkt">
    <w:name w:val="div.bookpunkt"/>
    <w:uiPriority w:val="99"/>
    <w:rsid w:val="00A74160"/>
    <w:pPr>
      <w:widowControl w:val="0"/>
      <w:autoSpaceDE w:val="0"/>
      <w:autoSpaceDN w:val="0"/>
      <w:adjustRightInd w:val="0"/>
      <w:spacing w:after="0" w:line="40" w:lineRule="atLeast"/>
      <w:ind w:left="240"/>
      <w:jc w:val="both"/>
    </w:pPr>
    <w:rPr>
      <w:rFonts w:ascii="Helvetica" w:hAnsi="Helvetica" w:cs="Helvetica"/>
      <w:color w:val="000000"/>
      <w:sz w:val="18"/>
      <w:szCs w:val="18"/>
    </w:rPr>
  </w:style>
  <w:style w:type="paragraph" w:customStyle="1" w:styleId="psrodtyt5">
    <w:name w:val="p.srodtyt5"/>
    <w:uiPriority w:val="99"/>
    <w:rsid w:val="00A74160"/>
    <w:pPr>
      <w:widowControl w:val="0"/>
      <w:autoSpaceDE w:val="0"/>
      <w:autoSpaceDN w:val="0"/>
      <w:adjustRightInd w:val="0"/>
      <w:spacing w:before="40" w:after="0" w:line="40" w:lineRule="atLeast"/>
      <w:ind w:left="700"/>
      <w:jc w:val="both"/>
    </w:pPr>
    <w:rPr>
      <w:rFonts w:ascii="Helvetica" w:hAnsi="Helvetica" w:cs="Helvetica"/>
      <w:color w:val="000000"/>
      <w:sz w:val="18"/>
      <w:szCs w:val="18"/>
    </w:rPr>
  </w:style>
  <w:style w:type="paragraph" w:customStyle="1" w:styleId="tempautor">
    <w:name w:val=".temp_autor"/>
    <w:uiPriority w:val="99"/>
    <w:rsid w:val="00A74160"/>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srodtyt6">
    <w:name w:val="p.srodtyt6"/>
    <w:uiPriority w:val="99"/>
    <w:rsid w:val="00A74160"/>
    <w:pPr>
      <w:widowControl w:val="0"/>
      <w:autoSpaceDE w:val="0"/>
      <w:autoSpaceDN w:val="0"/>
      <w:adjustRightInd w:val="0"/>
      <w:spacing w:before="40" w:after="0" w:line="40" w:lineRule="atLeast"/>
      <w:ind w:left="800"/>
      <w:jc w:val="both"/>
    </w:pPr>
    <w:rPr>
      <w:rFonts w:ascii="Helvetica" w:hAnsi="Helvetica" w:cs="Helvetica"/>
      <w:color w:val="000000"/>
      <w:sz w:val="18"/>
      <w:szCs w:val="18"/>
    </w:rPr>
  </w:style>
  <w:style w:type="paragraph" w:customStyle="1" w:styleId="divparagraph">
    <w:name w:val="div.paragraph"/>
    <w:uiPriority w:val="99"/>
    <w:rsid w:val="00A74160"/>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psrodtyt7">
    <w:name w:val="p.srodtyt7"/>
    <w:uiPriority w:val="99"/>
    <w:rsid w:val="00A74160"/>
    <w:pPr>
      <w:widowControl w:val="0"/>
      <w:autoSpaceDE w:val="0"/>
      <w:autoSpaceDN w:val="0"/>
      <w:adjustRightInd w:val="0"/>
      <w:spacing w:before="40" w:after="0" w:line="40" w:lineRule="atLeast"/>
      <w:ind w:left="920"/>
      <w:jc w:val="both"/>
    </w:pPr>
    <w:rPr>
      <w:rFonts w:ascii="Helvetica" w:hAnsi="Helvetica" w:cs="Helvetica"/>
      <w:color w:val="000000"/>
      <w:sz w:val="18"/>
      <w:szCs w:val="18"/>
    </w:rPr>
  </w:style>
  <w:style w:type="paragraph" w:customStyle="1" w:styleId="h1frontpagerok">
    <w:name w:val="h1.frontpage_rok"/>
    <w:uiPriority w:val="99"/>
    <w:rsid w:val="00A74160"/>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rowcategory">
    <w:name w:val=".rowcategory"/>
    <w:uiPriority w:val="99"/>
    <w:rsid w:val="00A74160"/>
    <w:pPr>
      <w:widowControl w:val="0"/>
      <w:autoSpaceDE w:val="0"/>
      <w:autoSpaceDN w:val="0"/>
      <w:adjustRightInd w:val="0"/>
      <w:spacing w:before="120" w:after="0" w:line="40" w:lineRule="atLeast"/>
      <w:jc w:val="both"/>
    </w:pPr>
    <w:rPr>
      <w:rFonts w:ascii="Helvetica" w:hAnsi="Helvetica" w:cs="Helvetica"/>
      <w:color w:val="000000"/>
      <w:sz w:val="18"/>
      <w:szCs w:val="18"/>
    </w:rPr>
  </w:style>
  <w:style w:type="paragraph" w:customStyle="1" w:styleId="tdmetcellleft">
    <w:name w:val="td.metcellleft"/>
    <w:uiPriority w:val="99"/>
    <w:rsid w:val="00A74160"/>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psrodtyt1">
    <w:name w:val="p.srodtyt1"/>
    <w:uiPriority w:val="99"/>
    <w:rsid w:val="00A74160"/>
    <w:pPr>
      <w:widowControl w:val="0"/>
      <w:autoSpaceDE w:val="0"/>
      <w:autoSpaceDN w:val="0"/>
      <w:adjustRightInd w:val="0"/>
      <w:spacing w:before="60" w:after="0" w:line="40" w:lineRule="atLeast"/>
      <w:ind w:left="260"/>
      <w:jc w:val="both"/>
    </w:pPr>
    <w:rPr>
      <w:rFonts w:ascii="Helvetica" w:hAnsi="Helvetica" w:cs="Helvetica"/>
      <w:color w:val="000000"/>
      <w:sz w:val="20"/>
      <w:szCs w:val="20"/>
    </w:rPr>
  </w:style>
  <w:style w:type="paragraph" w:customStyle="1" w:styleId="psrodtyt2">
    <w:name w:val="p.srodtyt2"/>
    <w:uiPriority w:val="99"/>
    <w:rsid w:val="00A74160"/>
    <w:pPr>
      <w:widowControl w:val="0"/>
      <w:autoSpaceDE w:val="0"/>
      <w:autoSpaceDN w:val="0"/>
      <w:adjustRightInd w:val="0"/>
      <w:spacing w:before="40" w:after="0" w:line="40" w:lineRule="atLeast"/>
      <w:ind w:left="340"/>
      <w:jc w:val="both"/>
    </w:pPr>
    <w:rPr>
      <w:rFonts w:ascii="Helvetica" w:hAnsi="Helvetica" w:cs="Helvetica"/>
      <w:color w:val="000000"/>
      <w:sz w:val="18"/>
      <w:szCs w:val="18"/>
    </w:rPr>
  </w:style>
  <w:style w:type="paragraph" w:customStyle="1" w:styleId="tdmetrictitle">
    <w:name w:val="td.metric_title"/>
    <w:uiPriority w:val="99"/>
    <w:rsid w:val="00A74160"/>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bibtresc">
    <w:name w:val=".bibtresc"/>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srodtyt3">
    <w:name w:val="p.srodtyt3"/>
    <w:uiPriority w:val="99"/>
    <w:rsid w:val="00A74160"/>
    <w:pPr>
      <w:widowControl w:val="0"/>
      <w:autoSpaceDE w:val="0"/>
      <w:autoSpaceDN w:val="0"/>
      <w:adjustRightInd w:val="0"/>
      <w:spacing w:before="40" w:after="0" w:line="40" w:lineRule="atLeast"/>
      <w:ind w:left="460"/>
      <w:jc w:val="both"/>
    </w:pPr>
    <w:rPr>
      <w:rFonts w:ascii="Helvetica" w:hAnsi="Helvetica" w:cs="Helvetica"/>
      <w:color w:val="000000"/>
      <w:sz w:val="18"/>
      <w:szCs w:val="18"/>
    </w:rPr>
  </w:style>
  <w:style w:type="paragraph" w:customStyle="1" w:styleId="psrodtyt4">
    <w:name w:val="p.srodtyt4"/>
    <w:uiPriority w:val="99"/>
    <w:rsid w:val="00A74160"/>
    <w:pPr>
      <w:widowControl w:val="0"/>
      <w:autoSpaceDE w:val="0"/>
      <w:autoSpaceDN w:val="0"/>
      <w:adjustRightInd w:val="0"/>
      <w:spacing w:before="40" w:after="0" w:line="40" w:lineRule="atLeast"/>
      <w:ind w:left="580"/>
      <w:jc w:val="both"/>
    </w:pPr>
    <w:rPr>
      <w:rFonts w:ascii="Helvetica" w:hAnsi="Helvetica" w:cs="Helvetica"/>
      <w:color w:val="000000"/>
      <w:sz w:val="18"/>
      <w:szCs w:val="18"/>
    </w:rPr>
  </w:style>
  <w:style w:type="paragraph" w:customStyle="1" w:styleId="tablemettable">
    <w:name w:val="table.mettable"/>
    <w:uiPriority w:val="99"/>
    <w:rsid w:val="00A74160"/>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ozdobnyspisnotfirst">
    <w:name w:val=".ozdobnyspisnotfirst"/>
    <w:uiPriority w:val="99"/>
    <w:rsid w:val="00A74160"/>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tabela">
    <w:name w:val="tabela"/>
    <w:uiPriority w:val="99"/>
    <w:rsid w:val="00A74160"/>
    <w:pPr>
      <w:widowControl w:val="0"/>
      <w:autoSpaceDE w:val="0"/>
      <w:autoSpaceDN w:val="0"/>
      <w:adjustRightInd w:val="0"/>
      <w:spacing w:after="0" w:line="240" w:lineRule="auto"/>
    </w:pPr>
    <w:rPr>
      <w:rFonts w:ascii="Helvetica" w:hAnsi="Helvetica" w:cs="Helvetica"/>
      <w:color w:val="000000"/>
      <w:sz w:val="18"/>
      <w:szCs w:val="18"/>
    </w:rPr>
  </w:style>
  <w:style w:type="paragraph" w:customStyle="1" w:styleId="spancytat">
    <w:name w:val="span.cytat"/>
    <w:uiPriority w:val="99"/>
    <w:rsid w:val="00A74160"/>
    <w:pPr>
      <w:widowControl w:val="0"/>
      <w:autoSpaceDE w:val="0"/>
      <w:autoSpaceDN w:val="0"/>
      <w:adjustRightInd w:val="0"/>
      <w:spacing w:after="0" w:line="40" w:lineRule="atLeast"/>
      <w:jc w:val="both"/>
    </w:pPr>
    <w:rPr>
      <w:rFonts w:ascii="Helvetica" w:hAnsi="Helvetica" w:cs="Helvetica"/>
      <w:color w:val="00FF00"/>
      <w:sz w:val="18"/>
      <w:szCs w:val="18"/>
    </w:rPr>
  </w:style>
  <w:style w:type="paragraph" w:customStyle="1" w:styleId="h2srodpodtytul">
    <w:name w:val="h2.srodpodtytul"/>
    <w:uiPriority w:val="99"/>
    <w:rsid w:val="00A74160"/>
    <w:pPr>
      <w:widowControl w:val="0"/>
      <w:autoSpaceDE w:val="0"/>
      <w:autoSpaceDN w:val="0"/>
      <w:adjustRightInd w:val="0"/>
      <w:spacing w:before="120" w:after="80" w:line="40" w:lineRule="atLeast"/>
      <w:jc w:val="center"/>
    </w:pPr>
    <w:rPr>
      <w:rFonts w:ascii="Helvetica" w:hAnsi="Helvetica" w:cs="Helvetica"/>
      <w:color w:val="000000"/>
      <w:sz w:val="20"/>
      <w:szCs w:val="20"/>
    </w:rPr>
  </w:style>
  <w:style w:type="paragraph" w:customStyle="1" w:styleId="ul">
    <w:name w:val="ul"/>
    <w:uiPriority w:val="99"/>
    <w:rsid w:val="00A74160"/>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trzmtablerowinner">
    <w:name w:val="tr.zmtablerowinner"/>
    <w:uiPriority w:val="99"/>
    <w:rsid w:val="00A74160"/>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divstronablock">
    <w:name w:val="div.stronablock"/>
    <w:uiPriority w:val="99"/>
    <w:rsid w:val="00A74160"/>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ramkaorzeczenietresc">
    <w:name w:val=".ramkaorzeczenietresc"/>
    <w:uiPriority w:val="99"/>
    <w:rsid w:val="00A74160"/>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3legoauthor">
    <w:name w:val="h3.lego_author"/>
    <w:uiPriority w:val="99"/>
    <w:rsid w:val="00A74160"/>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zmtableinner">
    <w:name w:val=".zmtableinner"/>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arttyt">
    <w:name w:val=".arttyt"/>
    <w:uiPriority w:val="99"/>
    <w:rsid w:val="00A74160"/>
    <w:pPr>
      <w:widowControl w:val="0"/>
      <w:autoSpaceDE w:val="0"/>
      <w:autoSpaceDN w:val="0"/>
      <w:adjustRightInd w:val="0"/>
      <w:spacing w:after="60" w:line="40" w:lineRule="atLeast"/>
      <w:ind w:right="600"/>
      <w:jc w:val="both"/>
    </w:pPr>
    <w:rPr>
      <w:rFonts w:ascii="Helvetica" w:hAnsi="Helvetica" w:cs="Helvetica"/>
      <w:b/>
      <w:bCs/>
      <w:color w:val="000000"/>
      <w:sz w:val="20"/>
      <w:szCs w:val="20"/>
    </w:rPr>
  </w:style>
  <w:style w:type="paragraph" w:customStyle="1" w:styleId="nrbrzeg">
    <w:name w:val=".nrbrzeg"/>
    <w:uiPriority w:val="99"/>
    <w:rsid w:val="00A74160"/>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ramkaprzyklad">
    <w:name w:val=".ramkaprzyklad"/>
    <w:uiPriority w:val="99"/>
    <w:rsid w:val="00A74160"/>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zmtablerowheader">
    <w:name w:val=".zmtablerowheader"/>
    <w:uiPriority w:val="99"/>
    <w:rsid w:val="00A74160"/>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temppaplabel">
    <w:name w:val=".temp_pap_label"/>
    <w:uiPriority w:val="99"/>
    <w:rsid w:val="00A74160"/>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frontpagedata">
    <w:name w:val="p.frontpage_data"/>
    <w:uiPriority w:val="99"/>
    <w:rsid w:val="00A74160"/>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ptytsystem">
    <w:name w:val="p.tytsystem"/>
    <w:uiPriority w:val="99"/>
    <w:rsid w:val="00A74160"/>
    <w:pPr>
      <w:widowControl w:val="0"/>
      <w:autoSpaceDE w:val="0"/>
      <w:autoSpaceDN w:val="0"/>
      <w:adjustRightInd w:val="0"/>
      <w:spacing w:after="60" w:line="40" w:lineRule="atLeast"/>
      <w:ind w:left="120"/>
      <w:jc w:val="both"/>
    </w:pPr>
    <w:rPr>
      <w:rFonts w:ascii="Helvetica" w:hAnsi="Helvetica" w:cs="Helvetica"/>
      <w:color w:val="000000"/>
      <w:sz w:val="18"/>
      <w:szCs w:val="18"/>
    </w:rPr>
  </w:style>
  <w:style w:type="paragraph" w:customStyle="1" w:styleId="pparinner">
    <w:name w:val="p.parinner"/>
    <w:uiPriority w:val="99"/>
    <w:rsid w:val="00A74160"/>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ramkaorzeczenie">
    <w:name w:val=".ramkaorzeczenie"/>
    <w:uiPriority w:val="99"/>
    <w:rsid w:val="00A74160"/>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ramkaprzykladnazwa">
    <w:name w:val=".ramkaprzykladnazwa"/>
    <w:uiPriority w:val="99"/>
    <w:rsid w:val="00A74160"/>
    <w:pPr>
      <w:widowControl w:val="0"/>
      <w:autoSpaceDE w:val="0"/>
      <w:autoSpaceDN w:val="0"/>
      <w:adjustRightInd w:val="0"/>
      <w:spacing w:before="60" w:after="60" w:line="40" w:lineRule="atLeast"/>
      <w:ind w:left="60" w:right="60"/>
      <w:jc w:val="center"/>
    </w:pPr>
    <w:rPr>
      <w:rFonts w:ascii="Helvetica" w:hAnsi="Helvetica" w:cs="Helvetica"/>
      <w:b/>
      <w:bCs/>
      <w:color w:val="000000"/>
    </w:rPr>
  </w:style>
  <w:style w:type="paragraph" w:customStyle="1" w:styleId="amodul">
    <w:name w:val="a.modul"/>
    <w:uiPriority w:val="99"/>
    <w:rsid w:val="00A74160"/>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kompunkt1">
    <w:name w:val=".kompunkt1"/>
    <w:uiPriority w:val="99"/>
    <w:rsid w:val="00A74160"/>
    <w:pPr>
      <w:widowControl w:val="0"/>
      <w:autoSpaceDE w:val="0"/>
      <w:autoSpaceDN w:val="0"/>
      <w:adjustRightInd w:val="0"/>
      <w:spacing w:after="0" w:line="40" w:lineRule="atLeast"/>
      <w:ind w:left="460" w:right="540" w:hanging="260"/>
      <w:jc w:val="both"/>
    </w:pPr>
    <w:rPr>
      <w:rFonts w:ascii="Helvetica" w:hAnsi="Helvetica" w:cs="Helvetica"/>
      <w:color w:val="000000"/>
      <w:sz w:val="18"/>
      <w:szCs w:val="18"/>
    </w:rPr>
  </w:style>
  <w:style w:type="paragraph" w:customStyle="1" w:styleId="h3autor">
    <w:name w:val="h3.autor"/>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frontpagenadpisius">
    <w:name w:val="h1.frontpage_nadpis_ius"/>
    <w:uiPriority w:val="99"/>
    <w:rsid w:val="00A74160"/>
    <w:pPr>
      <w:widowControl w:val="0"/>
      <w:autoSpaceDE w:val="0"/>
      <w:autoSpaceDN w:val="0"/>
      <w:adjustRightInd w:val="0"/>
      <w:spacing w:before="180" w:after="0" w:line="340" w:lineRule="atLeast"/>
      <w:jc w:val="both"/>
    </w:pPr>
    <w:rPr>
      <w:rFonts w:ascii="Helvetica" w:hAnsi="Helvetica" w:cs="Helvetica"/>
      <w:color w:val="000000"/>
      <w:sz w:val="28"/>
      <w:szCs w:val="28"/>
    </w:rPr>
  </w:style>
  <w:style w:type="paragraph" w:customStyle="1" w:styleId="pstart">
    <w:name w:val="p.start"/>
    <w:uiPriority w:val="99"/>
    <w:rsid w:val="00A74160"/>
    <w:pPr>
      <w:widowControl w:val="0"/>
      <w:autoSpaceDE w:val="0"/>
      <w:autoSpaceDN w:val="0"/>
      <w:adjustRightInd w:val="0"/>
      <w:spacing w:after="0" w:line="40" w:lineRule="atLeast"/>
      <w:ind w:left="120"/>
      <w:jc w:val="both"/>
    </w:pPr>
    <w:rPr>
      <w:rFonts w:ascii="Helvetica" w:hAnsi="Helvetica" w:cs="Helvetica"/>
      <w:b/>
      <w:bCs/>
      <w:color w:val="FFFFFF"/>
      <w:sz w:val="16"/>
      <w:szCs w:val="16"/>
    </w:rPr>
  </w:style>
  <w:style w:type="paragraph" w:customStyle="1" w:styleId="kompunktpunkt">
    <w:name w:val=".kompunktpunkt"/>
    <w:uiPriority w:val="99"/>
    <w:rsid w:val="00A74160"/>
    <w:pPr>
      <w:widowControl w:val="0"/>
      <w:autoSpaceDE w:val="0"/>
      <w:autoSpaceDN w:val="0"/>
      <w:adjustRightInd w:val="0"/>
      <w:spacing w:after="0" w:line="40" w:lineRule="atLeast"/>
      <w:ind w:left="700" w:right="540" w:hanging="260"/>
      <w:jc w:val="both"/>
    </w:pPr>
    <w:rPr>
      <w:rFonts w:ascii="Helvetica" w:hAnsi="Helvetica" w:cs="Helvetica"/>
      <w:color w:val="000000"/>
      <w:sz w:val="18"/>
      <w:szCs w:val="18"/>
    </w:rPr>
  </w:style>
  <w:style w:type="paragraph" w:customStyle="1" w:styleId="divpicture">
    <w:name w:val="div.picture"/>
    <w:uiPriority w:val="99"/>
    <w:rsid w:val="00A74160"/>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nextline">
    <w:name w:val=".nextline"/>
    <w:uiPriority w:val="99"/>
    <w:rsid w:val="00A74160"/>
    <w:pPr>
      <w:widowControl w:val="0"/>
      <w:autoSpaceDE w:val="0"/>
      <w:autoSpaceDN w:val="0"/>
      <w:adjustRightInd w:val="0"/>
      <w:spacing w:after="0" w:line="40" w:lineRule="atLeast"/>
      <w:ind w:left="120"/>
      <w:jc w:val="both"/>
    </w:pPr>
    <w:rPr>
      <w:rFonts w:ascii="Helvetica" w:hAnsi="Helvetica" w:cs="Helvetica"/>
      <w:color w:val="000000"/>
      <w:sz w:val="18"/>
      <w:szCs w:val="18"/>
    </w:rPr>
  </w:style>
  <w:style w:type="paragraph" w:customStyle="1" w:styleId="tablemaincenter">
    <w:name w:val="table.maincenter"/>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dmetcellheader">
    <w:name w:val="td.metcellheader"/>
    <w:uiPriority w:val="99"/>
    <w:rsid w:val="00A74160"/>
    <w:pPr>
      <w:widowControl w:val="0"/>
      <w:autoSpaceDE w:val="0"/>
      <w:autoSpaceDN w:val="0"/>
      <w:adjustRightInd w:val="0"/>
      <w:spacing w:after="120" w:line="40" w:lineRule="atLeast"/>
      <w:jc w:val="both"/>
    </w:pPr>
    <w:rPr>
      <w:rFonts w:ascii="Helvetica" w:hAnsi="Helvetica" w:cs="Helvetica"/>
      <w:b/>
      <w:bCs/>
      <w:color w:val="000000"/>
      <w:sz w:val="18"/>
      <w:szCs w:val="18"/>
    </w:rPr>
  </w:style>
  <w:style w:type="paragraph" w:customStyle="1" w:styleId="tdmetcell">
    <w:name w:val="td.metcell"/>
    <w:uiPriority w:val="99"/>
    <w:rsid w:val="00A74160"/>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tabletitlebar">
    <w:name w:val="table.titlebar"/>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frontpageautor">
    <w:name w:val="h1.frontpage_autor"/>
    <w:uiPriority w:val="99"/>
    <w:rsid w:val="00A74160"/>
    <w:pPr>
      <w:widowControl w:val="0"/>
      <w:autoSpaceDE w:val="0"/>
      <w:autoSpaceDN w:val="0"/>
      <w:adjustRightInd w:val="0"/>
      <w:spacing w:after="0" w:line="240" w:lineRule="atLeast"/>
      <w:jc w:val="both"/>
    </w:pPr>
    <w:rPr>
      <w:rFonts w:ascii="Helvetica" w:hAnsi="Helvetica" w:cs="Helvetica"/>
      <w:i/>
      <w:iCs/>
      <w:color w:val="000000"/>
      <w:sz w:val="20"/>
      <w:szCs w:val="20"/>
    </w:rPr>
  </w:style>
  <w:style w:type="paragraph" w:customStyle="1" w:styleId="tdmetcellright">
    <w:name w:val="td.metcellright"/>
    <w:uiPriority w:val="99"/>
    <w:rsid w:val="00A74160"/>
    <w:pPr>
      <w:widowControl w:val="0"/>
      <w:autoSpaceDE w:val="0"/>
      <w:autoSpaceDN w:val="0"/>
      <w:adjustRightInd w:val="0"/>
      <w:spacing w:after="0" w:line="40" w:lineRule="atLeast"/>
      <w:ind w:left="120"/>
      <w:jc w:val="right"/>
    </w:pPr>
    <w:rPr>
      <w:rFonts w:ascii="Helvetica" w:hAnsi="Helvetica" w:cs="Helvetica"/>
      <w:color w:val="000000"/>
      <w:sz w:val="18"/>
      <w:szCs w:val="18"/>
    </w:rPr>
  </w:style>
  <w:style w:type="paragraph" w:customStyle="1" w:styleId="pmain">
    <w:name w:val="p.main"/>
    <w:uiPriority w:val="99"/>
    <w:rsid w:val="00A74160"/>
    <w:pPr>
      <w:widowControl w:val="0"/>
      <w:autoSpaceDE w:val="0"/>
      <w:autoSpaceDN w:val="0"/>
      <w:adjustRightInd w:val="0"/>
      <w:spacing w:after="0" w:line="40" w:lineRule="atLeast"/>
      <w:ind w:left="120"/>
      <w:jc w:val="both"/>
    </w:pPr>
    <w:rPr>
      <w:rFonts w:ascii="Helvetica" w:hAnsi="Helvetica" w:cs="Helvetica"/>
      <w:b/>
      <w:bCs/>
      <w:color w:val="FFFFFF"/>
      <w:sz w:val="16"/>
      <w:szCs w:val="16"/>
    </w:rPr>
  </w:style>
  <w:style w:type="paragraph" w:customStyle="1" w:styleId="tdmodul">
    <w:name w:val="td.modul"/>
    <w:uiPriority w:val="99"/>
    <w:rsid w:val="00A74160"/>
    <w:pPr>
      <w:widowControl w:val="0"/>
      <w:autoSpaceDE w:val="0"/>
      <w:autoSpaceDN w:val="0"/>
      <w:adjustRightInd w:val="0"/>
      <w:spacing w:before="60" w:after="60" w:line="40" w:lineRule="atLeast"/>
      <w:ind w:left="60" w:right="60"/>
      <w:jc w:val="both"/>
    </w:pPr>
    <w:rPr>
      <w:rFonts w:ascii="Helvetica" w:hAnsi="Helvetica" w:cs="Helvetica"/>
      <w:b/>
      <w:bCs/>
      <w:color w:val="FFFFFF"/>
      <w:sz w:val="18"/>
      <w:szCs w:val="18"/>
    </w:rPr>
  </w:style>
  <w:style w:type="paragraph" w:customStyle="1" w:styleId="tdaktcell">
    <w:name w:val="td.aktcell"/>
    <w:uiPriority w:val="99"/>
    <w:rsid w:val="00A74160"/>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iuscell">
    <w:name w:val=".iuscell"/>
    <w:uiPriority w:val="99"/>
    <w:rsid w:val="00A74160"/>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tablestartpanel">
    <w:name w:val="table.startpanel"/>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orztytulredakcji">
    <w:name w:val=".orz_tytul_redakcji"/>
    <w:uiPriority w:val="99"/>
    <w:rsid w:val="00A74160"/>
    <w:pPr>
      <w:widowControl w:val="0"/>
      <w:autoSpaceDE w:val="0"/>
      <w:autoSpaceDN w:val="0"/>
      <w:adjustRightInd w:val="0"/>
      <w:spacing w:after="0" w:line="40" w:lineRule="atLeast"/>
      <w:jc w:val="center"/>
    </w:pPr>
    <w:rPr>
      <w:rFonts w:ascii="Helvetica" w:hAnsi="Helvetica" w:cs="Helvetica"/>
      <w:b/>
      <w:bCs/>
      <w:color w:val="000000"/>
      <w:sz w:val="18"/>
      <w:szCs w:val="18"/>
    </w:rPr>
  </w:style>
  <w:style w:type="paragraph" w:customStyle="1" w:styleId="divplaszczorient">
    <w:name w:val="div.plaszcz_orient"/>
    <w:uiPriority w:val="99"/>
    <w:rsid w:val="00A74160"/>
    <w:pPr>
      <w:widowControl w:val="0"/>
      <w:autoSpaceDE w:val="0"/>
      <w:autoSpaceDN w:val="0"/>
      <w:adjustRightInd w:val="0"/>
      <w:spacing w:before="340" w:after="340" w:line="40" w:lineRule="atLeast"/>
      <w:ind w:left="340" w:right="340"/>
      <w:jc w:val="both"/>
    </w:pPr>
    <w:rPr>
      <w:rFonts w:ascii="Helvetica" w:hAnsi="Helvetica" w:cs="Helvetica"/>
      <w:color w:val="000000"/>
      <w:sz w:val="18"/>
      <w:szCs w:val="18"/>
    </w:rPr>
  </w:style>
  <w:style w:type="paragraph" w:customStyle="1" w:styleId="psrodtyt">
    <w:name w:val="p.srodtyt"/>
    <w:uiPriority w:val="99"/>
    <w:rsid w:val="00A74160"/>
    <w:pPr>
      <w:widowControl w:val="0"/>
      <w:autoSpaceDE w:val="0"/>
      <w:autoSpaceDN w:val="0"/>
      <w:adjustRightInd w:val="0"/>
      <w:spacing w:before="80" w:after="80" w:line="40" w:lineRule="atLeast"/>
      <w:jc w:val="center"/>
    </w:pPr>
    <w:rPr>
      <w:rFonts w:ascii="Helvetica" w:hAnsi="Helvetica" w:cs="Helvetica"/>
      <w:b/>
      <w:bCs/>
      <w:color w:val="000000"/>
      <w:sz w:val="20"/>
      <w:szCs w:val="20"/>
    </w:rPr>
  </w:style>
  <w:style w:type="paragraph" w:customStyle="1" w:styleId="spanpagebreak">
    <w:name w:val="span.pagebreak"/>
    <w:uiPriority w:val="99"/>
    <w:rsid w:val="00A74160"/>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nrbrzegwide">
    <w:name w:val=".nrbrzegwide"/>
    <w:uiPriority w:val="99"/>
    <w:rsid w:val="00A74160"/>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h2proms">
    <w:name w:val="h2.proms"/>
    <w:uiPriority w:val="99"/>
    <w:rsid w:val="00A74160"/>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rPr>
  </w:style>
  <w:style w:type="paragraph" w:customStyle="1" w:styleId="sub-guides">
    <w:name w:val=".sub-guides"/>
    <w:uiPriority w:val="99"/>
    <w:rsid w:val="00A74160"/>
    <w:pPr>
      <w:widowControl w:val="0"/>
      <w:autoSpaceDE w:val="0"/>
      <w:autoSpaceDN w:val="0"/>
      <w:adjustRightInd w:val="0"/>
      <w:spacing w:after="0" w:line="40" w:lineRule="atLeast"/>
      <w:ind w:left="580"/>
      <w:jc w:val="both"/>
    </w:pPr>
    <w:rPr>
      <w:rFonts w:ascii="Helvetica" w:hAnsi="Helvetica" w:cs="Helvetica"/>
      <w:color w:val="000000"/>
      <w:sz w:val="18"/>
      <w:szCs w:val="18"/>
    </w:rPr>
  </w:style>
  <w:style w:type="paragraph" w:customStyle="1" w:styleId="tdzmpubinner1">
    <w:name w:val="td.zmpubinner1"/>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orznumer">
    <w:name w:val=".orz_numer"/>
    <w:uiPriority w:val="99"/>
    <w:rsid w:val="00A74160"/>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ramkaorzeczenienazwa">
    <w:name w:val=".ramkaorzeczenienazwa"/>
    <w:uiPriority w:val="99"/>
    <w:rsid w:val="00A74160"/>
    <w:pPr>
      <w:widowControl w:val="0"/>
      <w:autoSpaceDE w:val="0"/>
      <w:autoSpaceDN w:val="0"/>
      <w:adjustRightInd w:val="0"/>
      <w:spacing w:after="0" w:line="40" w:lineRule="atLeast"/>
      <w:ind w:left="60" w:right="60"/>
      <w:jc w:val="both"/>
    </w:pPr>
    <w:rPr>
      <w:rFonts w:ascii="Helvetica" w:hAnsi="Helvetica" w:cs="Helvetica"/>
      <w:b/>
      <w:bCs/>
      <w:color w:val="FFFFFF"/>
      <w:sz w:val="18"/>
      <w:szCs w:val="18"/>
    </w:rPr>
  </w:style>
  <w:style w:type="paragraph" w:customStyle="1" w:styleId="tdmain">
    <w:name w:val="td.main"/>
    <w:uiPriority w:val="99"/>
    <w:rsid w:val="00A74160"/>
    <w:pPr>
      <w:widowControl w:val="0"/>
      <w:autoSpaceDE w:val="0"/>
      <w:autoSpaceDN w:val="0"/>
      <w:adjustRightInd w:val="0"/>
      <w:spacing w:after="0" w:line="40" w:lineRule="atLeast"/>
      <w:jc w:val="both"/>
    </w:pPr>
    <w:rPr>
      <w:rFonts w:ascii="Helvetica" w:hAnsi="Helvetica" w:cs="Helvetica"/>
      <w:color w:val="FFFFFF"/>
      <w:sz w:val="18"/>
      <w:szCs w:val="18"/>
    </w:rPr>
  </w:style>
  <w:style w:type="paragraph" w:customStyle="1" w:styleId="pparorig">
    <w:name w:val="p.parorig"/>
    <w:uiPriority w:val="99"/>
    <w:rsid w:val="00A74160"/>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h1">
    <w:name w:val="h1"/>
    <w:uiPriority w:val="99"/>
    <w:rsid w:val="00A74160"/>
    <w:pPr>
      <w:widowControl w:val="0"/>
      <w:autoSpaceDE w:val="0"/>
      <w:autoSpaceDN w:val="0"/>
      <w:adjustRightInd w:val="0"/>
      <w:spacing w:before="360" w:after="180" w:line="160" w:lineRule="atLeast"/>
    </w:pPr>
    <w:rPr>
      <w:rFonts w:ascii="Helvetica" w:hAnsi="Helvetica" w:cs="Helvetica"/>
      <w:b/>
      <w:bCs/>
      <w:color w:val="000000"/>
      <w:sz w:val="36"/>
      <w:szCs w:val="36"/>
    </w:rPr>
  </w:style>
  <w:style w:type="paragraph" w:customStyle="1" w:styleId="pmainpub">
    <w:name w:val="p.mainpub"/>
    <w:uiPriority w:val="99"/>
    <w:rsid w:val="00A74160"/>
    <w:pPr>
      <w:widowControl w:val="0"/>
      <w:autoSpaceDE w:val="0"/>
      <w:autoSpaceDN w:val="0"/>
      <w:adjustRightInd w:val="0"/>
      <w:spacing w:after="120" w:line="40" w:lineRule="atLeast"/>
      <w:jc w:val="center"/>
    </w:pPr>
    <w:rPr>
      <w:rFonts w:ascii="Helvetica" w:hAnsi="Helvetica" w:cs="Helvetica"/>
      <w:b/>
      <w:bCs/>
      <w:color w:val="000000"/>
      <w:sz w:val="18"/>
      <w:szCs w:val="18"/>
    </w:rPr>
  </w:style>
  <w:style w:type="paragraph" w:customStyle="1" w:styleId="tabinner">
    <w:name w:val=".tabinner"/>
    <w:uiPriority w:val="99"/>
    <w:rsid w:val="00A74160"/>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tdmetrictitleimg">
    <w:name w:val="td.metric_title_img"/>
    <w:uiPriority w:val="99"/>
    <w:rsid w:val="00A74160"/>
    <w:pPr>
      <w:widowControl w:val="0"/>
      <w:autoSpaceDE w:val="0"/>
      <w:autoSpaceDN w:val="0"/>
      <w:adjustRightInd w:val="0"/>
      <w:spacing w:before="60" w:after="60" w:line="40" w:lineRule="atLeast"/>
      <w:jc w:val="both"/>
    </w:pPr>
    <w:rPr>
      <w:rFonts w:ascii="Helvetica" w:hAnsi="Helvetica" w:cs="Helvetica"/>
      <w:b/>
      <w:bCs/>
      <w:color w:val="000000"/>
      <w:sz w:val="18"/>
      <w:szCs w:val="18"/>
    </w:rPr>
  </w:style>
  <w:style w:type="paragraph" w:customStyle="1" w:styleId="h2">
    <w:name w:val="h2"/>
    <w:uiPriority w:val="99"/>
    <w:rsid w:val="00A74160"/>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3">
    <w:name w:val="h3"/>
    <w:uiPriority w:val="99"/>
    <w:rsid w:val="00A74160"/>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1frontpageautorius">
    <w:name w:val="h1.frontpage_autor_ius"/>
    <w:uiPriority w:val="99"/>
    <w:rsid w:val="00A74160"/>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h4">
    <w:name w:val="h4"/>
    <w:uiPriority w:val="99"/>
    <w:rsid w:val="00A74160"/>
    <w:pPr>
      <w:widowControl w:val="0"/>
      <w:autoSpaceDE w:val="0"/>
      <w:autoSpaceDN w:val="0"/>
      <w:adjustRightInd w:val="0"/>
      <w:spacing w:before="200" w:after="100" w:line="160" w:lineRule="atLeast"/>
    </w:pPr>
    <w:rPr>
      <w:rFonts w:ascii="Helvetica" w:hAnsi="Helvetica" w:cs="Helvetica"/>
      <w:b/>
      <w:bCs/>
      <w:color w:val="000000"/>
      <w:sz w:val="26"/>
      <w:szCs w:val="26"/>
    </w:rPr>
  </w:style>
  <w:style w:type="paragraph" w:customStyle="1" w:styleId="h5">
    <w:name w:val="h5"/>
    <w:uiPriority w:val="99"/>
    <w:rsid w:val="00A74160"/>
    <w:pPr>
      <w:widowControl w:val="0"/>
      <w:autoSpaceDE w:val="0"/>
      <w:autoSpaceDN w:val="0"/>
      <w:adjustRightInd w:val="0"/>
      <w:spacing w:before="200" w:after="100" w:line="160" w:lineRule="atLeast"/>
    </w:pPr>
    <w:rPr>
      <w:rFonts w:ascii="Helvetica" w:hAnsi="Helvetica" w:cs="Helvetica"/>
      <w:b/>
      <w:bCs/>
      <w:color w:val="000000"/>
      <w:sz w:val="24"/>
      <w:szCs w:val="24"/>
    </w:rPr>
  </w:style>
  <w:style w:type="paragraph" w:customStyle="1" w:styleId="h6">
    <w:name w:val="h6"/>
    <w:uiPriority w:val="99"/>
    <w:rsid w:val="00A74160"/>
    <w:pPr>
      <w:widowControl w:val="0"/>
      <w:autoSpaceDE w:val="0"/>
      <w:autoSpaceDN w:val="0"/>
      <w:adjustRightInd w:val="0"/>
      <w:spacing w:before="200" w:after="100" w:line="160" w:lineRule="atLeast"/>
    </w:pPr>
    <w:rPr>
      <w:rFonts w:ascii="Helvetica" w:hAnsi="Helvetica" w:cs="Helvetica"/>
      <w:b/>
      <w:bCs/>
      <w:color w:val="000000"/>
    </w:rPr>
  </w:style>
  <w:style w:type="paragraph" w:customStyle="1" w:styleId="tdzmpubinner3">
    <w:name w:val="td.zmpubinner3"/>
    <w:uiPriority w:val="99"/>
    <w:rsid w:val="00A74160"/>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tdzmpubinner2">
    <w:name w:val="td.zmpubinner2"/>
    <w:uiPriority w:val="99"/>
    <w:rsid w:val="00A74160"/>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showhide">
    <w:name w:val=".showhide"/>
    <w:uiPriority w:val="99"/>
    <w:rsid w:val="00A74160"/>
    <w:pPr>
      <w:widowControl w:val="0"/>
      <w:autoSpaceDE w:val="0"/>
      <w:autoSpaceDN w:val="0"/>
      <w:adjustRightInd w:val="0"/>
      <w:spacing w:after="240" w:line="220" w:lineRule="atLeast"/>
      <w:jc w:val="both"/>
    </w:pPr>
    <w:rPr>
      <w:rFonts w:ascii="Helvetica" w:hAnsi="Helvetica" w:cs="Helvetica"/>
      <w:color w:val="000000"/>
      <w:sz w:val="18"/>
      <w:szCs w:val="18"/>
    </w:rPr>
  </w:style>
  <w:style w:type="paragraph" w:customStyle="1" w:styleId="orzpodtytul">
    <w:name w:val=".orz_podtytul"/>
    <w:uiPriority w:val="99"/>
    <w:rsid w:val="00A74160"/>
    <w:pPr>
      <w:widowControl w:val="0"/>
      <w:autoSpaceDE w:val="0"/>
      <w:autoSpaceDN w:val="0"/>
      <w:adjustRightInd w:val="0"/>
      <w:spacing w:before="180" w:after="100" w:line="40" w:lineRule="atLeast"/>
      <w:jc w:val="both"/>
    </w:pPr>
    <w:rPr>
      <w:rFonts w:ascii="Helvetica" w:hAnsi="Helvetica" w:cs="Helvetica"/>
      <w:color w:val="000000"/>
      <w:sz w:val="18"/>
      <w:szCs w:val="18"/>
    </w:rPr>
  </w:style>
  <w:style w:type="paragraph" w:customStyle="1" w:styleId="tdmodulmain">
    <w:name w:val="td.modulmain"/>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frontpagenadpis1">
    <w:name w:val="h1.frontpage_nadpis1"/>
    <w:uiPriority w:val="99"/>
    <w:rsid w:val="00A74160"/>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beckformolarz">
    <w:name w:val=".beckformolarz"/>
    <w:uiPriority w:val="99"/>
    <w:rsid w:val="00A74160"/>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divszczegol">
    <w:name w:val="div.szczegol"/>
    <w:uiPriority w:val="99"/>
    <w:rsid w:val="00A74160"/>
    <w:pPr>
      <w:widowControl w:val="0"/>
      <w:autoSpaceDE w:val="0"/>
      <w:autoSpaceDN w:val="0"/>
      <w:adjustRightInd w:val="0"/>
      <w:spacing w:after="0" w:line="40" w:lineRule="atLeast"/>
      <w:jc w:val="both"/>
    </w:pPr>
    <w:rPr>
      <w:rFonts w:ascii="Helvetica" w:hAnsi="Helvetica" w:cs="Helvetica"/>
      <w:color w:val="000000"/>
      <w:sz w:val="16"/>
      <w:szCs w:val="16"/>
    </w:rPr>
  </w:style>
  <w:style w:type="paragraph" w:customStyle="1" w:styleId="pnaglowekcenter">
    <w:name w:val="p.naglowek_center"/>
    <w:uiPriority w:val="99"/>
    <w:rsid w:val="00A74160"/>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divpoint">
    <w:name w:val="div.point"/>
    <w:uiPriority w:val="99"/>
    <w:rsid w:val="00A74160"/>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h2srodpodtytul5">
    <w:name w:val="h2.srodpodtytul5"/>
    <w:uiPriority w:val="99"/>
    <w:rsid w:val="00A74160"/>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6">
    <w:name w:val="h2.srodpodtytul6"/>
    <w:uiPriority w:val="99"/>
    <w:rsid w:val="00A74160"/>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7">
    <w:name w:val="h2.srodpodtytul7"/>
    <w:uiPriority w:val="99"/>
    <w:rsid w:val="00A74160"/>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8">
    <w:name w:val="h2.srodpodtytul8"/>
    <w:uiPriority w:val="99"/>
    <w:rsid w:val="00A74160"/>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tdmetcellleftrel">
    <w:name w:val="td.metcellleftrel"/>
    <w:uiPriority w:val="99"/>
    <w:rsid w:val="00A74160"/>
    <w:pPr>
      <w:widowControl w:val="0"/>
      <w:autoSpaceDE w:val="0"/>
      <w:autoSpaceDN w:val="0"/>
      <w:adjustRightInd w:val="0"/>
      <w:spacing w:after="0" w:line="40" w:lineRule="atLeast"/>
      <w:ind w:left="120"/>
      <w:jc w:val="both"/>
    </w:pPr>
    <w:rPr>
      <w:rFonts w:ascii="Helvetica" w:hAnsi="Helvetica" w:cs="Helvetica"/>
      <w:color w:val="808080"/>
      <w:sz w:val="18"/>
      <w:szCs w:val="18"/>
    </w:rPr>
  </w:style>
  <w:style w:type="paragraph" w:customStyle="1" w:styleId="h2srodpodtytul1">
    <w:name w:val="h2.srodpodtytul1"/>
    <w:uiPriority w:val="99"/>
    <w:rsid w:val="00A74160"/>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2">
    <w:name w:val="h2.srodpodtytul2"/>
    <w:uiPriority w:val="99"/>
    <w:rsid w:val="00A74160"/>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3">
    <w:name w:val="h2.srodpodtytul3"/>
    <w:uiPriority w:val="99"/>
    <w:rsid w:val="00A74160"/>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empautorlabel">
    <w:name w:val=".temp_autor_label"/>
    <w:uiPriority w:val="99"/>
    <w:rsid w:val="00A74160"/>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h2srodpodtytul4">
    <w:name w:val="h2.srodpodtytul4"/>
    <w:uiPriority w:val="99"/>
    <w:rsid w:val="00A74160"/>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kompunkt">
    <w:name w:val=".kompunkt"/>
    <w:uiPriority w:val="99"/>
    <w:rsid w:val="00A74160"/>
    <w:pPr>
      <w:widowControl w:val="0"/>
      <w:autoSpaceDE w:val="0"/>
      <w:autoSpaceDN w:val="0"/>
      <w:adjustRightInd w:val="0"/>
      <w:spacing w:after="0" w:line="40" w:lineRule="atLeast"/>
      <w:ind w:left="460" w:right="540" w:hanging="260"/>
      <w:jc w:val="both"/>
    </w:pPr>
    <w:rPr>
      <w:rFonts w:ascii="Helvetica" w:hAnsi="Helvetica" w:cs="Helvetica"/>
      <w:color w:val="000000"/>
      <w:sz w:val="18"/>
      <w:szCs w:val="18"/>
    </w:rPr>
  </w:style>
  <w:style w:type="paragraph" w:customStyle="1" w:styleId="document-history-current-version">
    <w:name w:val=".document-history-current-version"/>
    <w:uiPriority w:val="99"/>
    <w:rsid w:val="00A74160"/>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divclear">
    <w:name w:val="div.clear"/>
    <w:uiPriority w:val="99"/>
    <w:rsid w:val="00A74160"/>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3legowydanie">
    <w:name w:val="h3.lego_wydanie"/>
    <w:uiPriority w:val="99"/>
    <w:rsid w:val="00A74160"/>
    <w:pPr>
      <w:widowControl w:val="0"/>
      <w:autoSpaceDE w:val="0"/>
      <w:autoSpaceDN w:val="0"/>
      <w:adjustRightInd w:val="0"/>
      <w:spacing w:after="0" w:line="40" w:lineRule="atLeast"/>
      <w:jc w:val="both"/>
    </w:pPr>
    <w:rPr>
      <w:rFonts w:ascii="Helvetica" w:hAnsi="Helvetica" w:cs="Helvetica"/>
      <w:color w:val="000000"/>
      <w:sz w:val="10"/>
      <w:szCs w:val="10"/>
    </w:rPr>
  </w:style>
  <w:style w:type="paragraph" w:customStyle="1" w:styleId="partyt">
    <w:name w:val=".partyt"/>
    <w:uiPriority w:val="99"/>
    <w:rsid w:val="00A74160"/>
    <w:pPr>
      <w:widowControl w:val="0"/>
      <w:autoSpaceDE w:val="0"/>
      <w:autoSpaceDN w:val="0"/>
      <w:adjustRightInd w:val="0"/>
      <w:spacing w:after="60" w:line="40" w:lineRule="atLeast"/>
      <w:ind w:right="540"/>
      <w:jc w:val="both"/>
    </w:pPr>
    <w:rPr>
      <w:rFonts w:ascii="Helvetica" w:hAnsi="Helvetica" w:cs="Helvetica"/>
      <w:color w:val="000000"/>
      <w:sz w:val="18"/>
      <w:szCs w:val="18"/>
    </w:rPr>
  </w:style>
  <w:style w:type="paragraph" w:customStyle="1" w:styleId="ramkawazne">
    <w:name w:val=".ramkawazne"/>
    <w:uiPriority w:val="99"/>
    <w:rsid w:val="00A74160"/>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spanarticletitle">
    <w:name w:val="span.articletitle"/>
    <w:uiPriority w:val="99"/>
    <w:rsid w:val="00A74160"/>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frontpageautor">
    <w:name w:val="p.frontpage_autor"/>
    <w:uiPriority w:val="99"/>
    <w:rsid w:val="00A74160"/>
    <w:pPr>
      <w:widowControl w:val="0"/>
      <w:autoSpaceDE w:val="0"/>
      <w:autoSpaceDN w:val="0"/>
      <w:adjustRightInd w:val="0"/>
      <w:spacing w:after="0" w:line="240" w:lineRule="atLeast"/>
      <w:jc w:val="both"/>
    </w:pPr>
    <w:rPr>
      <w:rFonts w:ascii="Helvetica" w:hAnsi="Helvetica" w:cs="Helvetica"/>
      <w:i/>
      <w:iCs/>
      <w:color w:val="000000"/>
      <w:sz w:val="20"/>
      <w:szCs w:val="20"/>
    </w:rPr>
  </w:style>
  <w:style w:type="paragraph" w:customStyle="1" w:styleId="h1maintyt">
    <w:name w:val="h1.maintyt"/>
    <w:uiPriority w:val="99"/>
    <w:rsid w:val="00A74160"/>
    <w:pPr>
      <w:widowControl w:val="0"/>
      <w:autoSpaceDE w:val="0"/>
      <w:autoSpaceDN w:val="0"/>
      <w:adjustRightInd w:val="0"/>
      <w:spacing w:after="0" w:line="40" w:lineRule="atLeast"/>
      <w:jc w:val="center"/>
    </w:pPr>
    <w:rPr>
      <w:rFonts w:ascii="Helvetica" w:hAnsi="Helvetica" w:cs="Helvetica"/>
      <w:b/>
      <w:bCs/>
      <w:color w:val="000000"/>
      <w:sz w:val="18"/>
      <w:szCs w:val="18"/>
    </w:rPr>
  </w:style>
  <w:style w:type="paragraph" w:styleId="Nagwek">
    <w:name w:val="header"/>
    <w:basedOn w:val="Normalny"/>
    <w:link w:val="NagwekZnak"/>
    <w:uiPriority w:val="99"/>
    <w:semiHidden/>
    <w:unhideWhenUsed/>
    <w:rsid w:val="007F0E70"/>
    <w:pPr>
      <w:tabs>
        <w:tab w:val="center" w:pos="4536"/>
        <w:tab w:val="right" w:pos="9072"/>
      </w:tabs>
    </w:pPr>
  </w:style>
  <w:style w:type="character" w:customStyle="1" w:styleId="NagwekZnak">
    <w:name w:val="Nagłówek Znak"/>
    <w:basedOn w:val="Domylnaczcionkaakapitu"/>
    <w:link w:val="Nagwek"/>
    <w:uiPriority w:val="99"/>
    <w:semiHidden/>
    <w:rsid w:val="007F0E70"/>
    <w:rPr>
      <w:rFonts w:ascii="Helvetica" w:hAnsi="Helvetica" w:cs="Helvetica"/>
      <w:color w:val="000000"/>
      <w:sz w:val="18"/>
      <w:szCs w:val="18"/>
    </w:rPr>
  </w:style>
  <w:style w:type="paragraph" w:styleId="Stopka">
    <w:name w:val="footer"/>
    <w:basedOn w:val="Normalny"/>
    <w:link w:val="StopkaZnak"/>
    <w:uiPriority w:val="99"/>
    <w:semiHidden/>
    <w:unhideWhenUsed/>
    <w:rsid w:val="007F0E70"/>
    <w:pPr>
      <w:tabs>
        <w:tab w:val="center" w:pos="4536"/>
        <w:tab w:val="right" w:pos="9072"/>
      </w:tabs>
    </w:pPr>
  </w:style>
  <w:style w:type="character" w:customStyle="1" w:styleId="StopkaZnak">
    <w:name w:val="Stopka Znak"/>
    <w:basedOn w:val="Domylnaczcionkaakapitu"/>
    <w:link w:val="Stopka"/>
    <w:uiPriority w:val="99"/>
    <w:semiHidden/>
    <w:rsid w:val="007F0E70"/>
    <w:rPr>
      <w:rFonts w:ascii="Helvetica" w:hAnsi="Helvetica" w:cs="Helvetica"/>
      <w:color w:val="000000"/>
      <w:sz w:val="18"/>
      <w:szCs w:val="18"/>
    </w:rPr>
  </w:style>
  <w:style w:type="paragraph" w:styleId="Tekstprzypisudolnego">
    <w:name w:val="footnote text"/>
    <w:basedOn w:val="Normalny"/>
    <w:link w:val="TekstprzypisudolnegoZnak"/>
    <w:uiPriority w:val="99"/>
    <w:semiHidden/>
    <w:unhideWhenUsed/>
    <w:rsid w:val="007F0E70"/>
    <w:rPr>
      <w:sz w:val="20"/>
      <w:szCs w:val="20"/>
    </w:rPr>
  </w:style>
  <w:style w:type="character" w:customStyle="1" w:styleId="TekstprzypisudolnegoZnak">
    <w:name w:val="Tekst przypisu dolnego Znak"/>
    <w:basedOn w:val="Domylnaczcionkaakapitu"/>
    <w:link w:val="Tekstprzypisudolnego"/>
    <w:uiPriority w:val="99"/>
    <w:semiHidden/>
    <w:rsid w:val="007F0E70"/>
    <w:rPr>
      <w:rFonts w:ascii="Helvetica" w:hAnsi="Helvetica" w:cs="Helvetica"/>
      <w:color w:val="000000"/>
      <w:sz w:val="20"/>
      <w:szCs w:val="20"/>
    </w:rPr>
  </w:style>
  <w:style w:type="paragraph" w:styleId="Tekstprzypisukocowego">
    <w:name w:val="endnote text"/>
    <w:basedOn w:val="Normalny"/>
    <w:link w:val="TekstprzypisukocowegoZnak"/>
    <w:uiPriority w:val="99"/>
    <w:semiHidden/>
    <w:unhideWhenUsed/>
    <w:rsid w:val="007F0E70"/>
    <w:rPr>
      <w:sz w:val="20"/>
      <w:szCs w:val="20"/>
    </w:rPr>
  </w:style>
  <w:style w:type="character" w:customStyle="1" w:styleId="TekstprzypisukocowegoZnak">
    <w:name w:val="Tekst przypisu końcowego Znak"/>
    <w:basedOn w:val="Domylnaczcionkaakapitu"/>
    <w:link w:val="Tekstprzypisukocowego"/>
    <w:uiPriority w:val="99"/>
    <w:semiHidden/>
    <w:rsid w:val="007F0E70"/>
    <w:rPr>
      <w:rFonts w:ascii="Helvetica" w:hAnsi="Helvetica" w:cs="Helvetica"/>
      <w:color w:val="000000"/>
      <w:sz w:val="20"/>
      <w:szCs w:val="20"/>
    </w:rPr>
  </w:style>
  <w:style w:type="character" w:styleId="Odwoanieprzypisudolnego">
    <w:name w:val="footnote reference"/>
    <w:basedOn w:val="Domylnaczcionkaakapitu"/>
    <w:uiPriority w:val="99"/>
    <w:semiHidden/>
    <w:unhideWhenUsed/>
    <w:rsid w:val="007F0E70"/>
    <w:rPr>
      <w:vertAlign w:val="superscript"/>
    </w:rPr>
  </w:style>
  <w:style w:type="character" w:styleId="Odwoanieprzypisukocowego">
    <w:name w:val="endnote reference"/>
    <w:basedOn w:val="Domylnaczcionkaakapitu"/>
    <w:uiPriority w:val="99"/>
    <w:semiHidden/>
    <w:unhideWhenUsed/>
    <w:rsid w:val="007F0E7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13240</Words>
  <Characters>79441</Characters>
  <Application>Microsoft Office Word</Application>
  <DocSecurity>0</DocSecurity>
  <Lines>662</Lines>
  <Paragraphs>184</Paragraphs>
  <ScaleCrop>false</ScaleCrop>
  <Company/>
  <LinksUpToDate>false</LinksUpToDate>
  <CharactersWithSpaces>92497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2016-11-30T11:34:00Z</dcterms:created>
  <dcterms:modified xsi:type="dcterms:W3CDTF">2016-11-30T12:28:00Z</dcterms:modified>
</cp:coreProperties>
</file>